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A62" w:rsidRDefault="00417A62" w:rsidP="00417A62">
      <w:pPr>
        <w:pStyle w:val="a6"/>
        <w:ind w:left="360"/>
        <w:rPr>
          <w:sz w:val="28"/>
        </w:rPr>
      </w:pPr>
      <w:r>
        <w:rPr>
          <w:sz w:val="28"/>
        </w:rPr>
        <w:t>ЭКОНОМИЧЕСКИЙ АНАЛИЗ ФИНАНСОВОЙ СТРУКТУРЫОБЩИЙ ОБЗОР</w:t>
      </w:r>
    </w:p>
    <w:p w:rsidR="00417A62" w:rsidRDefault="00417A62" w:rsidP="00417A62">
      <w:pPr>
        <w:spacing w:line="360" w:lineRule="auto"/>
        <w:jc w:val="both"/>
        <w:rPr>
          <w:b/>
          <w:sz w:val="28"/>
        </w:rPr>
      </w:pPr>
      <w:r>
        <w:rPr>
          <w:b/>
          <w:sz w:val="28"/>
        </w:rPr>
        <w:t>План.</w:t>
      </w:r>
    </w:p>
    <w:p w:rsidR="00417A62" w:rsidRDefault="00417A62" w:rsidP="00417A62">
      <w:pPr>
        <w:pStyle w:val="2"/>
        <w:numPr>
          <w:ilvl w:val="0"/>
          <w:numId w:val="1"/>
        </w:numPr>
        <w:jc w:val="both"/>
        <w:rPr>
          <w:sz w:val="28"/>
        </w:rPr>
      </w:pPr>
      <w:r>
        <w:rPr>
          <w:sz w:val="28"/>
        </w:rPr>
        <w:t>Основные задачи  финансовой структуры в  мире.</w:t>
      </w:r>
    </w:p>
    <w:p w:rsidR="00417A62" w:rsidRDefault="00417A62" w:rsidP="00417A62">
      <w:pPr>
        <w:numPr>
          <w:ilvl w:val="0"/>
          <w:numId w:val="1"/>
        </w:numPr>
        <w:spacing w:line="360" w:lineRule="auto"/>
        <w:jc w:val="both"/>
        <w:rPr>
          <w:b/>
          <w:sz w:val="28"/>
        </w:rPr>
      </w:pPr>
      <w:r>
        <w:rPr>
          <w:b/>
          <w:sz w:val="28"/>
        </w:rPr>
        <w:t>Операционные  затраты.</w:t>
      </w:r>
    </w:p>
    <w:p w:rsidR="00417A62" w:rsidRDefault="00417A62" w:rsidP="00417A62">
      <w:pPr>
        <w:numPr>
          <w:ilvl w:val="0"/>
          <w:numId w:val="1"/>
        </w:numPr>
        <w:spacing w:line="360" w:lineRule="auto"/>
        <w:jc w:val="both"/>
        <w:rPr>
          <w:b/>
          <w:sz w:val="28"/>
        </w:rPr>
      </w:pPr>
      <w:r>
        <w:rPr>
          <w:b/>
          <w:sz w:val="28"/>
        </w:rPr>
        <w:t>Асимметричная информация: неблагоприятный выбор и    моральная  опасность   (риск).</w:t>
      </w:r>
    </w:p>
    <w:p w:rsidR="00417A62" w:rsidRDefault="00417A62" w:rsidP="00417A62">
      <w:pPr>
        <w:numPr>
          <w:ilvl w:val="0"/>
          <w:numId w:val="1"/>
        </w:numPr>
        <w:spacing w:line="360" w:lineRule="auto"/>
        <w:jc w:val="both"/>
        <w:rPr>
          <w:sz w:val="28"/>
        </w:rPr>
      </w:pPr>
      <w:r>
        <w:rPr>
          <w:b/>
          <w:sz w:val="28"/>
        </w:rPr>
        <w:t>Проблема лимонов: Как неблагоприятный выбор влияет на финансовую структуру.</w:t>
      </w:r>
    </w:p>
    <w:p w:rsidR="00417A62" w:rsidRDefault="00417A62" w:rsidP="00417A62">
      <w:pPr>
        <w:spacing w:line="360" w:lineRule="auto"/>
        <w:jc w:val="both"/>
        <w:rPr>
          <w:sz w:val="28"/>
        </w:rPr>
      </w:pPr>
    </w:p>
    <w:p w:rsidR="00417A62" w:rsidRDefault="00417A62" w:rsidP="00417A62">
      <w:pPr>
        <w:spacing w:line="360" w:lineRule="auto"/>
        <w:jc w:val="both"/>
        <w:rPr>
          <w:b/>
          <w:sz w:val="28"/>
        </w:rPr>
      </w:pPr>
      <w:r>
        <w:rPr>
          <w:b/>
          <w:sz w:val="28"/>
        </w:rPr>
        <w:t>1.ОСНОВНЫЕ ЗАДАЧИ  ФИНАНСОВОЙ СТРУКТУРЫ В  МИРЕ.</w:t>
      </w:r>
    </w:p>
    <w:p w:rsidR="00417A62" w:rsidRDefault="00417A62" w:rsidP="00417A62">
      <w:pPr>
        <w:spacing w:line="360" w:lineRule="auto"/>
        <w:jc w:val="both"/>
        <w:rPr>
          <w:sz w:val="28"/>
        </w:rPr>
      </w:pPr>
    </w:p>
    <w:p w:rsidR="00417A62" w:rsidRDefault="00417A62" w:rsidP="00417A62">
      <w:pPr>
        <w:pStyle w:val="21"/>
        <w:ind w:firstLine="708"/>
        <w:rPr>
          <w:sz w:val="28"/>
        </w:rPr>
      </w:pPr>
      <w:r>
        <w:rPr>
          <w:sz w:val="28"/>
        </w:rPr>
        <w:t>Здоровая и яркая экономика требует финансовой системы, которая перемещает фонды от людей кто, экономит людям, кто имеют производительные инвестиционные возможности. Но как финансовая система удостоверится, что ваши трудно заработанные сбережения направляются Пауле производительному инвестору скорее, чем Бенни сидячему?</w:t>
      </w:r>
    </w:p>
    <w:p w:rsidR="00417A62" w:rsidRDefault="00417A62" w:rsidP="00417A62">
      <w:pPr>
        <w:spacing w:line="360" w:lineRule="auto"/>
        <w:ind w:firstLine="708"/>
        <w:jc w:val="both"/>
        <w:rPr>
          <w:sz w:val="28"/>
        </w:rPr>
      </w:pPr>
      <w:r>
        <w:rPr>
          <w:sz w:val="28"/>
        </w:rPr>
        <w:t xml:space="preserve">Эта тема отвечает, что вопрос, обеспечивая экономический анализ того, как наша финансовая структура разработана, чтобы продвинуть экономическую эффективность. Анализ сосредотачивается на несколько простых, но мощных экономических концепций, которые позволяют нам объяснить особенности нашей финансовой системы типа того, почему финансовые контракты написаны, как они являются и почему финансовые посредники более важны чем рынки ценных бумаг для получения фондов заемщикам. Анализ также демонстрирует важную связь между финансовой системой и выполнением работой совокупной экономики. Экономический </w:t>
      </w:r>
      <w:r>
        <w:rPr>
          <w:sz w:val="28"/>
        </w:rPr>
        <w:lastRenderedPageBreak/>
        <w:t>анализ финансовой структуры объясняет, как выполнено работа финансового сектора затрагивающий экономический рост и почему финансовые кризисы происходят и имеют такие серьезные последствия для совокупной экономической деятельности.</w:t>
      </w:r>
    </w:p>
    <w:p w:rsidR="00417A62" w:rsidRDefault="00417A62" w:rsidP="00417A62">
      <w:pPr>
        <w:pStyle w:val="2"/>
        <w:jc w:val="both"/>
        <w:rPr>
          <w:sz w:val="28"/>
        </w:rPr>
      </w:pPr>
      <w:r>
        <w:rPr>
          <w:sz w:val="28"/>
        </w:rPr>
        <w:t>Основные задачи  финансовой структуры в  мире</w:t>
      </w:r>
    </w:p>
    <w:p w:rsidR="00417A62" w:rsidRDefault="00417A62" w:rsidP="00417A62">
      <w:pPr>
        <w:spacing w:line="360" w:lineRule="auto"/>
        <w:ind w:firstLine="708"/>
        <w:jc w:val="both"/>
        <w:rPr>
          <w:sz w:val="28"/>
        </w:rPr>
      </w:pPr>
      <w:r>
        <w:rPr>
          <w:sz w:val="28"/>
        </w:rPr>
        <w:t>Финансовая система сложна в структуре и функции во всем мире. Есть много различных типов учреждений: банки, компании страхования, взаимные фонды, акции и рынки обязательства, и так далее - все из которых регулируются правительством. В финансовой системе имеется каналы миллиарды долларов в год, которые имеют возможности с производительными инвестициями. Если мы берем одну дозу и смотрим на финансовую структуру во всем мире, мы находим восемь основных задач, которые мы должны решить, чтобы понимать, как финансовая система работает.</w:t>
      </w:r>
    </w:p>
    <w:p w:rsidR="00417A62" w:rsidRDefault="00417A62" w:rsidP="00417A62">
      <w:pPr>
        <w:spacing w:line="360" w:lineRule="auto"/>
        <w:jc w:val="both"/>
        <w:rPr>
          <w:sz w:val="28"/>
        </w:rPr>
      </w:pPr>
    </w:p>
    <w:p w:rsidR="00417A62" w:rsidRDefault="00417A62" w:rsidP="00417A62">
      <w:pPr>
        <w:spacing w:line="360" w:lineRule="auto"/>
        <w:jc w:val="both"/>
        <w:rPr>
          <w:sz w:val="28"/>
        </w:rPr>
      </w:pPr>
    </w:p>
    <w:p w:rsidR="00417A62" w:rsidRDefault="00417A62" w:rsidP="00417A62">
      <w:pPr>
        <w:spacing w:line="360" w:lineRule="auto"/>
        <w:jc w:val="both"/>
        <w:rPr>
          <w:spacing w:val="2"/>
          <w:sz w:val="28"/>
        </w:rPr>
      </w:pPr>
      <w:r>
        <w:rPr>
          <w:noProof/>
          <w:spacing w:val="2"/>
          <w:sz w:val="28"/>
          <w:lang w:val="en-US" w:eastAsia="en-US"/>
        </w:rPr>
        <w:lastRenderedPageBreak/>
        <w:drawing>
          <wp:anchor distT="0" distB="0" distL="114300" distR="114300" simplePos="0" relativeHeight="251659264" behindDoc="0" locked="0" layoutInCell="0" allowOverlap="1">
            <wp:simplePos x="0" y="0"/>
            <wp:positionH relativeFrom="column">
              <wp:posOffset>114300</wp:posOffset>
            </wp:positionH>
            <wp:positionV relativeFrom="paragraph">
              <wp:posOffset>-342900</wp:posOffset>
            </wp:positionV>
            <wp:extent cx="5791200" cy="3784600"/>
            <wp:effectExtent l="0" t="0" r="635" b="0"/>
            <wp:wrapTopAndBottom/>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417A62" w:rsidRDefault="00417A62" w:rsidP="00417A62">
      <w:pPr>
        <w:spacing w:line="360" w:lineRule="auto"/>
        <w:jc w:val="both"/>
        <w:rPr>
          <w:sz w:val="28"/>
        </w:rPr>
      </w:pPr>
      <w:r>
        <w:rPr>
          <w:spacing w:val="2"/>
          <w:sz w:val="28"/>
        </w:rPr>
        <w:t>Рисунок</w:t>
      </w:r>
      <w:r>
        <w:rPr>
          <w:sz w:val="28"/>
        </w:rPr>
        <w:t xml:space="preserve"> 1 Источник Внешних Фондов для не финансовых бизнесов в Соединенных Штатах. Категории внешних фондов следующие: </w:t>
      </w:r>
      <w:r>
        <w:rPr>
          <w:i/>
          <w:sz w:val="28"/>
        </w:rPr>
        <w:t>Ссуды</w:t>
      </w:r>
      <w:r>
        <w:rPr>
          <w:sz w:val="28"/>
        </w:rPr>
        <w:t xml:space="preserve"> составлены, прежде всего, ссуд банка, но это также включает ссуды, предоставляемые другими финансовыми посредниками. Обязательства включают рыночные долговые  ценные бумаги типа общих обязательств и коммерческой бумаги. </w:t>
      </w:r>
      <w:r>
        <w:rPr>
          <w:i/>
          <w:sz w:val="28"/>
        </w:rPr>
        <w:t>Акция</w:t>
      </w:r>
      <w:r>
        <w:rPr>
          <w:sz w:val="28"/>
        </w:rPr>
        <w:t xml:space="preserve"> состоит из доли рынка акции. </w:t>
      </w:r>
      <w:r>
        <w:rPr>
          <w:i/>
          <w:sz w:val="28"/>
        </w:rPr>
        <w:t>Другие</w:t>
      </w:r>
      <w:r>
        <w:rPr>
          <w:sz w:val="28"/>
        </w:rPr>
        <w:t xml:space="preserve"> включает другие ссуды типа правительственных ссуд, ссуды предоставленные иностранцами, и торговым долгом (ссуды, выделяемые бизнесами к другим бизнесам, когда они купят товары).</w:t>
      </w:r>
    </w:p>
    <w:p w:rsidR="00417A62" w:rsidRDefault="00417A62" w:rsidP="00417A62">
      <w:pPr>
        <w:spacing w:line="360" w:lineRule="auto"/>
        <w:jc w:val="both"/>
        <w:rPr>
          <w:sz w:val="28"/>
        </w:rPr>
      </w:pPr>
      <w:r>
        <w:rPr>
          <w:i/>
          <w:sz w:val="28"/>
        </w:rPr>
        <w:t>Источник:</w:t>
      </w:r>
      <w:r>
        <w:rPr>
          <w:sz w:val="28"/>
        </w:rPr>
        <w:t xml:space="preserve"> Колин Мейер, " Финансовые Системы, Общие Финансы, и Экономическое Развитие", в </w:t>
      </w:r>
      <w:r>
        <w:rPr>
          <w:i/>
          <w:sz w:val="28"/>
        </w:rPr>
        <w:t>Асимметричных Информационных, Общих Финансах, и Инвестиции,</w:t>
      </w:r>
      <w:r>
        <w:rPr>
          <w:sz w:val="28"/>
        </w:rPr>
        <w:t xml:space="preserve"> редакторе. R. Гленн Хуббард (Чикаго: Университет Чикагского печати,1990), с. 312.</w:t>
      </w:r>
    </w:p>
    <w:p w:rsidR="00417A62" w:rsidRDefault="00417A62" w:rsidP="00417A62">
      <w:pPr>
        <w:spacing w:line="360" w:lineRule="auto"/>
        <w:ind w:firstLine="708"/>
        <w:jc w:val="both"/>
        <w:rPr>
          <w:sz w:val="28"/>
        </w:rPr>
      </w:pPr>
      <w:r>
        <w:rPr>
          <w:sz w:val="28"/>
        </w:rPr>
        <w:lastRenderedPageBreak/>
        <w:t xml:space="preserve">Диаграмма пирога в рисунке 1 указывает, как Американские бизнесы финансировали их действия, использующие внешние фонды (те получили сверх бизнеса непосредственно) в периоде 1970-1985 гг. Категория </w:t>
      </w:r>
      <w:r>
        <w:rPr>
          <w:i/>
          <w:sz w:val="28"/>
        </w:rPr>
        <w:t>ссуд</w:t>
      </w:r>
      <w:r>
        <w:rPr>
          <w:sz w:val="28"/>
        </w:rPr>
        <w:t xml:space="preserve"> составлена прежде всего с ссуды банка, но это также включает ссуды, предоставленные другими финансовыми посредниками; категория </w:t>
      </w:r>
      <w:r>
        <w:rPr>
          <w:i/>
          <w:sz w:val="28"/>
        </w:rPr>
        <w:t>обязательств</w:t>
      </w:r>
      <w:r>
        <w:rPr>
          <w:sz w:val="28"/>
        </w:rPr>
        <w:t xml:space="preserve"> включает рыночные долговые ценные бумаги типа общих обязательств и коммерческой бумаги; </w:t>
      </w:r>
      <w:r>
        <w:rPr>
          <w:i/>
          <w:sz w:val="28"/>
        </w:rPr>
        <w:t>акция</w:t>
      </w:r>
      <w:r>
        <w:rPr>
          <w:sz w:val="28"/>
        </w:rPr>
        <w:t xml:space="preserve"> состоит из долей рынка акции; и </w:t>
      </w:r>
      <w:r>
        <w:rPr>
          <w:i/>
          <w:sz w:val="28"/>
        </w:rPr>
        <w:t>другой</w:t>
      </w:r>
      <w:r>
        <w:rPr>
          <w:sz w:val="28"/>
        </w:rPr>
        <w:t xml:space="preserve"> включает другие ссуды типа правительственных ссуд, ссуды иностранцами, и торговым долгом ссуды, сделанные бизнесами к другим бизнесам, когда они купят товары). Изобразите, 2 рисунок, используя те же самые классификации как рисунок 1 и, сравните американские данные к таковым пяти других промышленным странам.</w:t>
      </w:r>
    </w:p>
    <w:p w:rsidR="00417A62" w:rsidRDefault="00417A62" w:rsidP="00417A62">
      <w:pPr>
        <w:spacing w:line="360" w:lineRule="auto"/>
        <w:ind w:firstLine="708"/>
        <w:jc w:val="both"/>
        <w:rPr>
          <w:sz w:val="28"/>
        </w:rPr>
      </w:pPr>
      <w:r>
        <w:rPr>
          <w:sz w:val="28"/>
        </w:rPr>
        <w:t>Теперь позвольте нам исследовать восемь финансовых задач.</w:t>
      </w:r>
    </w:p>
    <w:p w:rsidR="00417A62" w:rsidRDefault="00417A62" w:rsidP="00417A62">
      <w:pPr>
        <w:spacing w:line="360" w:lineRule="auto"/>
        <w:ind w:firstLine="708"/>
        <w:jc w:val="both"/>
        <w:rPr>
          <w:sz w:val="28"/>
        </w:rPr>
      </w:pPr>
      <w:r>
        <w:rPr>
          <w:b/>
          <w:sz w:val="28"/>
        </w:rPr>
        <w:t>1. Акции - не наиболее важный источник внешнего финансирования для бизнеса</w:t>
      </w:r>
      <w:r>
        <w:rPr>
          <w:i/>
          <w:sz w:val="28"/>
        </w:rPr>
        <w:t>.</w:t>
      </w:r>
      <w:r>
        <w:rPr>
          <w:sz w:val="28"/>
        </w:rPr>
        <w:t xml:space="preserve"> Поскольку так много внимания в средствах информации сосредоточены на рынке акции, много людей имеют впечатление, что акции являются наиболее важными источниками финансирования для Американских корпораций. Однако, поскольку мы можем видеть от диаграммы пирога на рисунке 1, рынок акции составляет только маленькую долю.</w:t>
      </w:r>
    </w:p>
    <w:p w:rsidR="00417A62" w:rsidRDefault="00417A62" w:rsidP="00417A62">
      <w:pPr>
        <w:spacing w:line="360" w:lineRule="auto"/>
        <w:jc w:val="both"/>
        <w:rPr>
          <w:sz w:val="28"/>
        </w:rPr>
      </w:pPr>
    </w:p>
    <w:p w:rsidR="00417A62" w:rsidRDefault="00417A62" w:rsidP="00417A62">
      <w:pPr>
        <w:spacing w:line="360" w:lineRule="auto"/>
        <w:jc w:val="both"/>
        <w:rPr>
          <w:sz w:val="28"/>
        </w:rPr>
      </w:pPr>
      <w:r>
        <w:rPr>
          <w:noProof/>
          <w:sz w:val="28"/>
          <w:lang w:val="en-US" w:eastAsia="en-US"/>
        </w:rPr>
        <w:lastRenderedPageBreak/>
        <w:drawing>
          <wp:inline distT="0" distB="0" distL="0" distR="0">
            <wp:extent cx="5457825" cy="2790825"/>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17A62" w:rsidRDefault="00417A62" w:rsidP="00417A62">
      <w:pPr>
        <w:spacing w:line="360" w:lineRule="auto"/>
        <w:jc w:val="both"/>
        <w:rPr>
          <w:sz w:val="28"/>
        </w:rPr>
      </w:pPr>
      <w:r>
        <w:rPr>
          <w:spacing w:val="1"/>
          <w:sz w:val="28"/>
        </w:rPr>
        <w:t>Рисунок</w:t>
      </w:r>
      <w:r>
        <w:rPr>
          <w:sz w:val="28"/>
        </w:rPr>
        <w:t xml:space="preserve"> 2 Источник внешних фондов для нефинансовых бизнесов:    Сравнение Соединенных Штатов и пять других промышленных стран. Категории внешних фондов тот же самый как в фигуре 1. </w:t>
      </w:r>
      <w:r>
        <w:rPr>
          <w:i/>
          <w:sz w:val="28"/>
        </w:rPr>
        <w:t>Источник:</w:t>
      </w:r>
      <w:r>
        <w:rPr>
          <w:sz w:val="28"/>
        </w:rPr>
        <w:t xml:space="preserve"> Колин Мейер, " Финансовые Системы, Общие Финансы, и  Экономическое Развитие, " </w:t>
      </w:r>
      <w:r>
        <w:rPr>
          <w:i/>
          <w:sz w:val="28"/>
        </w:rPr>
        <w:t>в Асимметричных Информационных, Общих Финансах, и Инвестиции,</w:t>
      </w:r>
      <w:r>
        <w:rPr>
          <w:sz w:val="28"/>
        </w:rPr>
        <w:t xml:space="preserve"> редакторе. R. Гленн Хуббард (Чикаго: Университет Чикагского Пресса(печати), 1990), p. 312.</w:t>
      </w:r>
    </w:p>
    <w:p w:rsidR="00417A62" w:rsidRDefault="00417A62" w:rsidP="00417A62">
      <w:pPr>
        <w:spacing w:line="360" w:lineRule="auto"/>
        <w:ind w:firstLine="708"/>
        <w:jc w:val="both"/>
        <w:rPr>
          <w:sz w:val="28"/>
        </w:rPr>
      </w:pPr>
      <w:r>
        <w:rPr>
          <w:sz w:val="28"/>
        </w:rPr>
        <w:t xml:space="preserve">Внешнее финансирование Американских бизнесов в 1970-1985 периодах, 2.1 процента. Фактически, в середине к концу 1980-ых, Американские корпорации вообще прекращали издавать доли, чтобы финансировать их действия; вместо этого они купили большие долей акции, означая, что рынок акции был фактически </w:t>
      </w:r>
      <w:r>
        <w:rPr>
          <w:i/>
          <w:sz w:val="28"/>
        </w:rPr>
        <w:t>отрицательный</w:t>
      </w:r>
      <w:r>
        <w:rPr>
          <w:sz w:val="28"/>
        </w:rPr>
        <w:t xml:space="preserve"> источник общих финансов в тех годах. Подобно маленькие фигуры применяются в других странах, представленных в фигуре 2 также. " Почему рынок акции менее важен чем другие источники финансирования в Соединенных Штатах и других странах?</w:t>
      </w:r>
    </w:p>
    <w:p w:rsidR="00417A62" w:rsidRDefault="00417A62" w:rsidP="00417A62">
      <w:pPr>
        <w:spacing w:line="360" w:lineRule="auto"/>
        <w:ind w:firstLine="708"/>
        <w:jc w:val="both"/>
        <w:rPr>
          <w:i/>
          <w:sz w:val="28"/>
        </w:rPr>
      </w:pPr>
      <w:r>
        <w:rPr>
          <w:b/>
          <w:sz w:val="28"/>
        </w:rPr>
        <w:lastRenderedPageBreak/>
        <w:t>2. Выпуск рыночного долгового обязательства и ценных бумаг (акции) - не главное направление, по которым  финансируют деятельность бизнеса</w:t>
      </w:r>
      <w:r>
        <w:rPr>
          <w:i/>
          <w:sz w:val="28"/>
        </w:rPr>
        <w:t>.</w:t>
      </w:r>
      <w:r>
        <w:rPr>
          <w:sz w:val="28"/>
        </w:rPr>
        <w:t xml:space="preserve"> Обязательства - гораздо более важный источник финансирования, чем акции в Соединенных Штатах (29.8 против 2.1 процентов). </w:t>
      </w:r>
    </w:p>
    <w:p w:rsidR="00417A62" w:rsidRDefault="00417A62" w:rsidP="00417A62">
      <w:pPr>
        <w:spacing w:line="360" w:lineRule="auto"/>
        <w:ind w:firstLine="708"/>
        <w:jc w:val="both"/>
        <w:rPr>
          <w:sz w:val="28"/>
        </w:rPr>
      </w:pPr>
      <w:r>
        <w:rPr>
          <w:sz w:val="28"/>
        </w:rPr>
        <w:t xml:space="preserve">2.1 процента на рисунке для процента от внешнего финансирования, обеспеченного акциями основано на потоках внешних фондов к корпорациям. Однако, это число потока несколько вводит в заблуждение, потому что, когда доля акции выпущена, это поднимает фонды постоянно, принимая во внимание, что, когда обязательство выпущено, это поднимает фонды только временно, пока они не заплатят в установленный срок. Чтобы видеть это, предположим, что фирма устойчиво повышает 1000 $, продавая долю акции и другой </w:t>
      </w:r>
      <w:r>
        <w:rPr>
          <w:sz w:val="28"/>
          <w:lang w:val="en-US"/>
        </w:rPr>
        <w:t>l</w:t>
      </w:r>
      <w:r>
        <w:rPr>
          <w:sz w:val="28"/>
        </w:rPr>
        <w:t>000 $, продавая 1000 $ одного года обязательство. В случае проблемы выпуска акции, фирма может держаться за 1000 $, которое подняло этим путем, но держится за 1000 $, который это поднимало через долг, в этом случае должно выпустить новое обязательство за 1000 $ каждый год. Если мы смотрим на поток фондов корпораций в течение 15-летнего периода, фирма поднимет акцию 1000 $, выйдет только однажды в 15-летнем периоде, в то время как это поднимет 1000 $ с долгом 15 раз, один раз в каждом из этих 15 лет. Таким образом, это напомнит долг - в 15 раз больше, чем акции в подъеме фондов, даже притом, что наш пример указывает, что они фактически одинаково важны для фирмы.</w:t>
      </w:r>
    </w:p>
    <w:p w:rsidR="00417A62" w:rsidRDefault="00417A62" w:rsidP="00417A62">
      <w:pPr>
        <w:spacing w:line="360" w:lineRule="auto"/>
        <w:ind w:firstLine="708"/>
        <w:jc w:val="both"/>
        <w:rPr>
          <w:sz w:val="28"/>
        </w:rPr>
      </w:pPr>
      <w:r>
        <w:rPr>
          <w:sz w:val="28"/>
        </w:rPr>
        <w:t xml:space="preserve">Однако, акции и комбинированные обязательства (31.9 процент), которые составляют полную долю рынка ценных бумаг, все еще снабжает меньше чем первый третий из внешних корпораций фондов, должны финансировать их действия. Факт, что выпуск ценных бумаг - не наиболее важный источник финансирования, истинен в другом месте в мире также. </w:t>
      </w:r>
      <w:r>
        <w:rPr>
          <w:sz w:val="28"/>
        </w:rPr>
        <w:lastRenderedPageBreak/>
        <w:t xml:space="preserve">Действительно, поскольку мы видим в большинстве стран, за исключением Канады, имеет намного меньшая доля внешнего финансирования, снабженного рыночными ценными бумагами чем в Соединенных Штатах. Почему бизнесмены не используют рыночные ценные бумаги более экстенсивно, чтобы финансировать их деятельность? </w:t>
      </w:r>
    </w:p>
    <w:p w:rsidR="00417A62" w:rsidRDefault="00417A62" w:rsidP="00417A62">
      <w:pPr>
        <w:spacing w:line="360" w:lineRule="auto"/>
        <w:ind w:firstLine="708"/>
        <w:jc w:val="both"/>
        <w:rPr>
          <w:sz w:val="28"/>
        </w:rPr>
      </w:pPr>
      <w:r>
        <w:rPr>
          <w:b/>
          <w:sz w:val="28"/>
        </w:rPr>
        <w:t>3. Косвенные финансы, которые вовлекают внимания финансовых посредников, являются много раз более важным, чем прямые финансы,  которые бизнесмены поднимают фонды непосредственно от кредиторов на финансовых рынках</w:t>
      </w:r>
      <w:r>
        <w:rPr>
          <w:i/>
          <w:sz w:val="28"/>
        </w:rPr>
        <w:t>.</w:t>
      </w:r>
      <w:r>
        <w:rPr>
          <w:sz w:val="28"/>
        </w:rPr>
        <w:t xml:space="preserve"> Прямые финансы вовлекают к продаже домашним хозяйствам рынка ценных бумаг типа акций и обязательств. 31.9 процент на долю акций и обязательств как источник внешнего финансирования для Американских бизнесов является актуальным, очень преувеличивает важность прямых финансов в финансовой системе США. С 1970, меньше чем 5 процентов от недавно выпущенных общих обязательств и коммерческой бумаги и вокруг 50 процентов от акций были проданы непосредственно Американским домашним хозяйствам. Остальная часть этих ценных бумаг была куплена, прежде всего, финансовыми посредниками типа страховыми компаниями, пенсионных фондов, и взаимных фондов. Это указывают, что прямые финансы используются в меньше чем пя</w:t>
      </w:r>
      <w:r>
        <w:rPr>
          <w:i/>
          <w:sz w:val="28"/>
        </w:rPr>
        <w:t>ти процентов</w:t>
      </w:r>
      <w:r>
        <w:rPr>
          <w:sz w:val="28"/>
        </w:rPr>
        <w:t xml:space="preserve"> от внешнего финансирования Американского бизнеса. Поскольку в большинстве стран рынок ценных бумаг являются менее важным источником финансов чем в Соединенных Штатах, прямые финансы, также гораздо менее важным, чем косвенные финансы в остальной ЧАСТЬи мира. Почему - финансовые посредники и косвенные финансы, столь важные на финансовых рынках?</w:t>
      </w:r>
    </w:p>
    <w:p w:rsidR="00417A62" w:rsidRDefault="00417A62" w:rsidP="00417A62">
      <w:pPr>
        <w:spacing w:line="360" w:lineRule="auto"/>
        <w:ind w:firstLine="708"/>
        <w:jc w:val="both"/>
        <w:rPr>
          <w:sz w:val="28"/>
        </w:rPr>
      </w:pPr>
      <w:r>
        <w:rPr>
          <w:b/>
          <w:sz w:val="28"/>
        </w:rPr>
        <w:t>4. Банки это наиболее важный источник внешних фондов, используемые для финансирования  бизнеса.</w:t>
      </w:r>
      <w:r>
        <w:rPr>
          <w:sz w:val="28"/>
        </w:rPr>
        <w:t xml:space="preserve"> Поскольку мы видим в фигурах 1 и 2, первичные источники внешних фондов для бизнесов во всем </w:t>
      </w:r>
      <w:r>
        <w:rPr>
          <w:sz w:val="28"/>
        </w:rPr>
        <w:lastRenderedPageBreak/>
        <w:t>мире это ссуды ( в США 61.9 процент). Большинство этих ссуд - ссуды банка, так что данные предлагают, чтобы банки имели наиболее важную роль в финансировании деловых действий. Экстраординарный факт, что удивляет большинство людей - то, что через несколько лет в Соединенных Штатах, 25 раз большее количество фондов было поднято со ссудами банка, чем с акциями. Банки даже более важны в странах типа Франции чем, они находятся в Соединенных Штатах, и в банках развивающихся стран играют даже более важную роль в финансовой системе чем, они делают в промышленных странах. Что делают банки, настолько важны они для работы в финансовой системе?</w:t>
      </w:r>
    </w:p>
    <w:p w:rsidR="00417A62" w:rsidRDefault="00417A62" w:rsidP="00417A62">
      <w:pPr>
        <w:spacing w:line="360" w:lineRule="auto"/>
        <w:ind w:firstLine="708"/>
        <w:jc w:val="both"/>
        <w:rPr>
          <w:sz w:val="28"/>
        </w:rPr>
      </w:pPr>
      <w:r>
        <w:rPr>
          <w:b/>
          <w:sz w:val="28"/>
        </w:rPr>
        <w:t>5.Финансовая система это наиболее тяжело регулируемый один из  секторов экономики.</w:t>
      </w:r>
      <w:r>
        <w:rPr>
          <w:i/>
          <w:sz w:val="28"/>
        </w:rPr>
        <w:t xml:space="preserve"> </w:t>
      </w:r>
      <w:r>
        <w:rPr>
          <w:sz w:val="28"/>
        </w:rPr>
        <w:t>Финансовая система это тяжело регулируемая не только в Соединенных Штатах, но и во всех других развитых странах. Правительства регулируют финансовые рынки, прежде всего, чтобы продвинуть условие из информации и гарантировать разумность финансовой системы. Почему финансовые рынки, так экстенсивно регулируется во всем мире?</w:t>
      </w:r>
    </w:p>
    <w:p w:rsidR="00417A62" w:rsidRDefault="00417A62" w:rsidP="00417A62">
      <w:pPr>
        <w:spacing w:line="360" w:lineRule="auto"/>
        <w:ind w:firstLine="708"/>
        <w:jc w:val="both"/>
        <w:rPr>
          <w:sz w:val="28"/>
        </w:rPr>
      </w:pPr>
      <w:r>
        <w:rPr>
          <w:b/>
          <w:sz w:val="28"/>
        </w:rPr>
        <w:t>6. Только большие, известные корпорации имеют доступ к ценным бумагам</w:t>
      </w:r>
      <w:r>
        <w:rPr>
          <w:b/>
          <w:sz w:val="28"/>
        </w:rPr>
        <w:br/>
        <w:t>на рынке, чтобы финансировать их деятельность</w:t>
      </w:r>
      <w:r>
        <w:rPr>
          <w:i/>
          <w:sz w:val="28"/>
        </w:rPr>
        <w:t xml:space="preserve">. </w:t>
      </w:r>
      <w:r>
        <w:rPr>
          <w:sz w:val="28"/>
        </w:rPr>
        <w:t>Индивидуальный и малый бизнес, которые нестабильно работающие, почти никогда не поднимают фонды, выпуская рынок ценные бумаги. Вместо этого, они получают их финансирование от банков. Почему только большие, известные корпорации имеют способность поднять фонды на рынке ценных бумаг?</w:t>
      </w:r>
    </w:p>
    <w:p w:rsidR="00417A62" w:rsidRDefault="00417A62" w:rsidP="00417A62">
      <w:pPr>
        <w:spacing w:line="360" w:lineRule="auto"/>
        <w:ind w:firstLine="708"/>
        <w:jc w:val="both"/>
        <w:rPr>
          <w:sz w:val="28"/>
        </w:rPr>
      </w:pPr>
      <w:r>
        <w:rPr>
          <w:b/>
          <w:sz w:val="28"/>
        </w:rPr>
        <w:t>7. Имущественный залог - распространенная особенность долговых контрактов для активов обоим,  держателям  и бизнесменам</w:t>
      </w:r>
      <w:r>
        <w:rPr>
          <w:i/>
          <w:sz w:val="28"/>
        </w:rPr>
        <w:t xml:space="preserve">. </w:t>
      </w:r>
      <w:r>
        <w:rPr>
          <w:sz w:val="28"/>
        </w:rPr>
        <w:lastRenderedPageBreak/>
        <w:t>Имущественный залог - собственность, которая заверена кредитору к оплате гарантии, когда заемщик неспособен, давать долг.</w:t>
      </w:r>
    </w:p>
    <w:p w:rsidR="00417A62" w:rsidRDefault="00417A62" w:rsidP="00417A62">
      <w:pPr>
        <w:spacing w:line="360" w:lineRule="auto"/>
        <w:jc w:val="both"/>
        <w:rPr>
          <w:sz w:val="28"/>
        </w:rPr>
      </w:pPr>
      <w:r>
        <w:rPr>
          <w:sz w:val="28"/>
        </w:rPr>
        <w:t>платежи. Гарантированный долг (который, как известно, как защищенный долг противопоставляет это с необеспеченным долгом, типа долга кредитной карточки, который - не гарантирован) - преобладающая форма домашнего долга и широко используется в бизнесе, заимствующим также. Большинство домашнего долга в Соединенных Штатах состоит из гарантированных ссуд: Ваш автомобиль - имущественный залог для вашей авто ссуды, и ваш дом - имущественный залог для вашего заклада. Коммерческий и заклады фермы, для которых собственность заверена как имущественный залог, составьте с одной четвертью из заимствования нефинансовыми бизнесами; общие обязательства и другие ссуды банка также часто вовлекают залоги имущественного залога. Почему - имущественный залог такая важная особенность долговых контрактов?</w:t>
      </w:r>
    </w:p>
    <w:p w:rsidR="00417A62" w:rsidRDefault="00417A62" w:rsidP="00417A62">
      <w:pPr>
        <w:spacing w:line="360" w:lineRule="auto"/>
        <w:ind w:firstLine="708"/>
        <w:jc w:val="both"/>
        <w:rPr>
          <w:sz w:val="28"/>
        </w:rPr>
      </w:pPr>
      <w:r>
        <w:rPr>
          <w:b/>
          <w:sz w:val="28"/>
        </w:rPr>
        <w:t>8. Долговые контракты типично чрезвычайно усложняются юридическими документами, которые существенно влияют на  поведение заемщика</w:t>
      </w:r>
      <w:r>
        <w:rPr>
          <w:i/>
          <w:sz w:val="28"/>
        </w:rPr>
        <w:t>.</w:t>
      </w:r>
      <w:r>
        <w:rPr>
          <w:sz w:val="28"/>
        </w:rPr>
        <w:t xml:space="preserve"> Много студентов думают о долговом контракте как простой </w:t>
      </w:r>
      <w:r>
        <w:rPr>
          <w:sz w:val="28"/>
          <w:lang w:val="en-US"/>
        </w:rPr>
        <w:t>IOU</w:t>
      </w:r>
      <w:r>
        <w:rPr>
          <w:sz w:val="28"/>
        </w:rPr>
        <w:t xml:space="preserve">, который может быть написан на единственной (отдельной) части бумаги. Действительность долговых контрактов, однако, далеко различна. Во всех странах, обязательство или контракты ссуды - типично состоят из длинных юридических документов с условиями (называемое ограничительными соглашениями), которые ограничивают и определяют некоторые действия, в которых заемщик может участвовать. Ограничительные соглашения не только особенность долговых контрактов на бизнесы; например, личная автомобильная ссуда и дома закладывает контракты, имеющие ограничительные соглашения, которые требуют, чтобы заемщик поддержал достаточное страхование на автомобиль или дом, </w:t>
      </w:r>
      <w:r>
        <w:rPr>
          <w:sz w:val="28"/>
        </w:rPr>
        <w:lastRenderedPageBreak/>
        <w:t>купленный со ссудой. Почему - долговые контракты, столь сложные и ограничительные?</w:t>
      </w:r>
    </w:p>
    <w:p w:rsidR="00417A62" w:rsidRDefault="00417A62" w:rsidP="00417A62">
      <w:pPr>
        <w:spacing w:line="360" w:lineRule="auto"/>
        <w:ind w:firstLine="708"/>
        <w:jc w:val="both"/>
        <w:rPr>
          <w:sz w:val="28"/>
        </w:rPr>
      </w:pPr>
      <w:r>
        <w:rPr>
          <w:sz w:val="28"/>
        </w:rPr>
        <w:t>Поскольку важная особенность финансовых рынков - то, что они имеют существенные операционные и информационные затраты. Экономический анализ того, как эти затраты затрагивают финансовые рынки, обеспечивает нас решениями восьми задачами, которые в свою очередь обеспечивают нас намного более глубоким пониманием того, как наша финансовая система работает. Следующей секции мы исследуем воздействие операционных затрат на структуре финансовой системы США. Тогда мы поворачиваемся к тому, как информационные затраты затрагивают финансовую структуру.</w:t>
      </w:r>
    </w:p>
    <w:p w:rsidR="00417A62" w:rsidRDefault="00417A62" w:rsidP="00417A62">
      <w:pPr>
        <w:pStyle w:val="2"/>
        <w:jc w:val="both"/>
        <w:rPr>
          <w:sz w:val="28"/>
        </w:rPr>
      </w:pPr>
    </w:p>
    <w:p w:rsidR="00417A62" w:rsidRDefault="00417A62" w:rsidP="00417A62">
      <w:pPr>
        <w:pStyle w:val="2"/>
        <w:ind w:firstLine="720"/>
        <w:jc w:val="both"/>
        <w:rPr>
          <w:sz w:val="28"/>
        </w:rPr>
      </w:pPr>
      <w:r>
        <w:rPr>
          <w:sz w:val="28"/>
        </w:rPr>
        <w:t>2. ОПЕРАЦИОННЫЕ  ЗАТРАТЫ</w:t>
      </w:r>
    </w:p>
    <w:p w:rsidR="00417A62" w:rsidRDefault="00417A62" w:rsidP="00417A62">
      <w:pPr>
        <w:spacing w:line="360" w:lineRule="auto"/>
        <w:ind w:firstLine="708"/>
        <w:jc w:val="both"/>
        <w:rPr>
          <w:sz w:val="28"/>
        </w:rPr>
      </w:pPr>
      <w:r>
        <w:rPr>
          <w:sz w:val="28"/>
        </w:rPr>
        <w:t xml:space="preserve">Операционные затраты - главная проблема на финансовых рынках. Приведем пример: Предположим, что Вы имеете 5000 $, который Вы хотели бы вложить, и Вы думаете о вложении капитала в рынок акции. Поскольку Вы имеете только 5000 $, вы можете покупать только маленький часть доли. Биржевой маклер сообщает Вам, что ваша закупка является таким маленьким,  что комиссионные маклерства, чтобы купить выбранные вами акции, будет высоким процентом. Если вместо этого Вы решите покупать обязательство, проблема даже ухудшающая, потому что самое маленькое наименование для некоторых обязательств, которые Вы хотели бы купить - столько, что составляет 10,000 $, и Вы не имеете так много, чтобы вложить капитал. Действительно, брокер даже не может быть заинтересован вашим бизнесом вообще, потому что небольшой размер вашего вклада не оправдает расходованной времени. Вы будете разочарованы и понимаете, что Вы не сможете использовать финансовые рынки, чтобы заработать возвращение на </w:t>
      </w:r>
      <w:r>
        <w:rPr>
          <w:sz w:val="28"/>
        </w:rPr>
        <w:lastRenderedPageBreak/>
        <w:t xml:space="preserve">ваших трудно заработанных сбережениях. Вы можете брать некоторое утешение, в факте, что Вы - не один являетесь в высоких тупиковых операционных затратах. Это - факт жизни для большинства из нас: Большинство Американских домашних хозяйств никогда не имеют никакие ценные бумаги. </w:t>
      </w:r>
    </w:p>
    <w:p w:rsidR="00417A62" w:rsidRDefault="00417A62" w:rsidP="00417A62">
      <w:pPr>
        <w:spacing w:line="360" w:lineRule="auto"/>
        <w:ind w:firstLine="708"/>
        <w:jc w:val="both"/>
        <w:rPr>
          <w:sz w:val="28"/>
        </w:rPr>
      </w:pPr>
      <w:r>
        <w:rPr>
          <w:sz w:val="28"/>
        </w:rPr>
        <w:t xml:space="preserve">Вы также сталкиваетесь с другой проблемой из-за операционных затрат. Поскольку Вы имеете только маленькое количество доступных средств, Вы можете делать только ограниченный объем инвестиций. То есть Вы должны поместить, ваши все средства в одной корзине, и ваши неспособности разносторонне развивать, в конечном итоге подвергнут вас большому количеству риска. </w:t>
      </w:r>
    </w:p>
    <w:p w:rsidR="00417A62" w:rsidRDefault="00417A62" w:rsidP="00417A62">
      <w:pPr>
        <w:spacing w:line="360" w:lineRule="auto"/>
        <w:ind w:firstLine="720"/>
        <w:jc w:val="both"/>
        <w:rPr>
          <w:b/>
          <w:sz w:val="28"/>
        </w:rPr>
      </w:pPr>
      <w:r>
        <w:rPr>
          <w:b/>
          <w:sz w:val="28"/>
        </w:rPr>
        <w:t>Как Финансовые посредники уменьшают операционные затраты</w:t>
      </w:r>
    </w:p>
    <w:p w:rsidR="00417A62" w:rsidRDefault="00417A62" w:rsidP="00417A62">
      <w:pPr>
        <w:spacing w:line="360" w:lineRule="auto"/>
        <w:ind w:firstLine="708"/>
        <w:jc w:val="both"/>
        <w:rPr>
          <w:sz w:val="28"/>
        </w:rPr>
      </w:pPr>
      <w:r>
        <w:rPr>
          <w:sz w:val="28"/>
        </w:rPr>
        <w:t xml:space="preserve">Этот пример проблемы, преложенных сделкой стоит, когда судебные издержки хранили вас от создания ссуды Карлу плотнику, который иллюстрирует это, как маленькие спасатели подобно вам заморожены из финансовых рынков и неспособны, извлечь выгоду от них. К счастью, финансовые посредники, важная часть финансовой структуры, развились, чтобы уменьшить операционные затраты и допускают маленьких заемщиков, чтобы извлечь выгоду от существования на финансовом рынке. Масштаб экономии, одно из решений проблемы высоких операционных затрат состоит в том, чтобы связать фонды многих инвесторов вместе так, чтобы они могли воспользоваться преимуществом </w:t>
      </w:r>
      <w:r>
        <w:rPr>
          <w:i/>
          <w:sz w:val="28"/>
        </w:rPr>
        <w:t>масштабом экономии,</w:t>
      </w:r>
      <w:r>
        <w:rPr>
          <w:sz w:val="28"/>
        </w:rPr>
        <w:t xml:space="preserve"> сокращение операционных затрат в доллар инвестиции как размер увеличений сделок. Связывая фонды инвесторов вместе, операционные затраты для каждого индивидуального инвестора гораздо меньше. Масштаб экономии существуют, потому что общая стоимость выполнения сделки на финансовых рынках увеличивается только немного, поскольку размер сделки растет. </w:t>
      </w:r>
      <w:r>
        <w:rPr>
          <w:sz w:val="28"/>
        </w:rPr>
        <w:lastRenderedPageBreak/>
        <w:t>Например, стоимость подготовки закупки 10,000 долей акций - не намного больше, чем стоимость подготовки закупки 50 долей акции.</w:t>
      </w:r>
    </w:p>
    <w:p w:rsidR="00417A62" w:rsidRDefault="00417A62" w:rsidP="00417A62">
      <w:pPr>
        <w:spacing w:line="360" w:lineRule="auto"/>
        <w:ind w:firstLine="708"/>
        <w:jc w:val="both"/>
        <w:rPr>
          <w:sz w:val="28"/>
        </w:rPr>
      </w:pPr>
      <w:r>
        <w:rPr>
          <w:sz w:val="28"/>
        </w:rPr>
        <w:t xml:space="preserve">Присутствие масштаба экономии  в финансовой помощи рынков объясняет, почему финансовые посредники развивали - такую важную часть нашей финансовой структуры. Другой пример, финансового посредника, который возник из-за масштаба экономии это взаимный фонд. </w:t>
      </w:r>
      <w:r>
        <w:rPr>
          <w:i/>
          <w:sz w:val="28"/>
        </w:rPr>
        <w:t>Взаимный фонд</w:t>
      </w:r>
      <w:r>
        <w:rPr>
          <w:sz w:val="28"/>
        </w:rPr>
        <w:t xml:space="preserve"> - финансовый посредник, который продает доли - индивидуумам и затем вкладывает доходы в обязательствах или акциях. Поскольку они покупают большие блоки акций или обязательств, взаимный фонд может брать преимущество более низких операционных затрат. На эти сбережения стоимости тогда пропускают индивидуальным инвесторам после того, как взаимный фонд принял его снижение в форме плат управления за управлением их счетами. Дополнительная выгода для индивидуальных инвесторов - то, что взаимный фонд является достаточно большим, чтобы купить широко разнообразный портфель ценных бумаг. Увеличенное разнообразие для индивидуальных инвесторов уменьшает их риск, таким образом, делая их выигрывающим материально.</w:t>
      </w:r>
    </w:p>
    <w:p w:rsidR="00417A62" w:rsidRDefault="00417A62" w:rsidP="00417A62">
      <w:pPr>
        <w:spacing w:line="360" w:lineRule="auto"/>
        <w:ind w:firstLine="708"/>
        <w:jc w:val="both"/>
        <w:rPr>
          <w:sz w:val="28"/>
        </w:rPr>
      </w:pPr>
      <w:r>
        <w:rPr>
          <w:sz w:val="28"/>
        </w:rPr>
        <w:t xml:space="preserve">Экономия масштаба также важны в понижении затрат вещей типа компьютерной технологии, что финансовые учреждения должны выполнить их задачи. Как только большой взаимный фонд вложил много денег во введение системы теле связи, например, это может быть использовано для огромный количество сделок за низкую цену за сделку. </w:t>
      </w:r>
    </w:p>
    <w:p w:rsidR="00417A62" w:rsidRDefault="00417A62" w:rsidP="00417A62">
      <w:pPr>
        <w:spacing w:line="360" w:lineRule="auto"/>
        <w:jc w:val="both"/>
        <w:rPr>
          <w:sz w:val="28"/>
        </w:rPr>
      </w:pPr>
      <w:r>
        <w:rPr>
          <w:sz w:val="28"/>
        </w:rPr>
        <w:t xml:space="preserve">Экспертиза финансовых посредников также возникают, потому что они лучше способны развить экспертизу понизить операционные затраты. Взаимные фонды, банки, и другие финансовые посредники развивают экспертизу в компьютерной технологии так, чтобы они могли дешево обеспечивать удобные услуги типа бесплатных номеров, которые позволяют </w:t>
      </w:r>
      <w:r>
        <w:rPr>
          <w:sz w:val="28"/>
        </w:rPr>
        <w:lastRenderedPageBreak/>
        <w:t>вам проверять на том, как хорошо ваши инвестиции делают деньги или способность записать чеки на вашем счете.</w:t>
      </w:r>
    </w:p>
    <w:p w:rsidR="00417A62" w:rsidRDefault="00417A62" w:rsidP="00417A62">
      <w:pPr>
        <w:spacing w:line="360" w:lineRule="auto"/>
        <w:ind w:firstLine="708"/>
        <w:jc w:val="both"/>
        <w:rPr>
          <w:sz w:val="28"/>
        </w:rPr>
      </w:pPr>
      <w:r>
        <w:rPr>
          <w:sz w:val="28"/>
        </w:rPr>
        <w:t xml:space="preserve">Важный результат низких операционных затрат финансового посредника - то, что они позволяют финансовому посреднику обеспечивать его клиентов </w:t>
      </w:r>
      <w:r>
        <w:rPr>
          <w:i/>
          <w:sz w:val="28"/>
        </w:rPr>
        <w:t>услугами ликвидности,</w:t>
      </w:r>
      <w:r>
        <w:rPr>
          <w:sz w:val="28"/>
        </w:rPr>
        <w:t xml:space="preserve"> услуги, которые делают это более легким для клиентов, чтобы провести сделки. Рынок денег, взаимные фонды, например, позволяет акционерам писать чеки, которые позволяют им оплатить их счета легко, в то же самое время оплатили им высокую процентную ставку.</w:t>
      </w:r>
    </w:p>
    <w:p w:rsidR="00417A62" w:rsidRDefault="00417A62" w:rsidP="00417A62">
      <w:pPr>
        <w:spacing w:line="360" w:lineRule="auto"/>
        <w:jc w:val="both"/>
        <w:rPr>
          <w:b/>
          <w:sz w:val="28"/>
        </w:rPr>
      </w:pPr>
    </w:p>
    <w:p w:rsidR="00417A62" w:rsidRDefault="00417A62" w:rsidP="00417A62">
      <w:pPr>
        <w:spacing w:line="360" w:lineRule="auto"/>
        <w:jc w:val="both"/>
        <w:rPr>
          <w:b/>
          <w:sz w:val="28"/>
        </w:rPr>
      </w:pPr>
      <w:r>
        <w:rPr>
          <w:b/>
          <w:sz w:val="28"/>
        </w:rPr>
        <w:t>3. АСИММЕТРИЧНАЯ ИНФОРМАЦИЯ: НЕБЛАГОПРИЯТНЫЙ ВЫБОР И         МОРАЛЬНАЯ ОПАСНОСТЬ (риск)</w:t>
      </w:r>
    </w:p>
    <w:p w:rsidR="00417A62" w:rsidRDefault="00417A62" w:rsidP="00417A62">
      <w:pPr>
        <w:spacing w:line="360" w:lineRule="auto"/>
        <w:ind w:firstLine="708"/>
        <w:jc w:val="both"/>
        <w:rPr>
          <w:sz w:val="28"/>
        </w:rPr>
      </w:pPr>
      <w:r>
        <w:rPr>
          <w:sz w:val="28"/>
        </w:rPr>
        <w:t>Присутствие операционных затрат на финансовых рынках объясняет частично, почему финансовые посредники и косвенные финансы играют такую важную роль на финансовых рынках. Однако, понимать финансовую структуру более полностью, мы становимся в роли информатора на финансовом рынке</w:t>
      </w:r>
      <w:r>
        <w:rPr>
          <w:rStyle w:val="a5"/>
          <w:b/>
          <w:sz w:val="28"/>
        </w:rPr>
        <w:footnoteReference w:id="1"/>
      </w:r>
      <w:r>
        <w:rPr>
          <w:sz w:val="28"/>
        </w:rPr>
        <w:t>.</w:t>
      </w:r>
    </w:p>
    <w:p w:rsidR="00417A62" w:rsidRDefault="00417A62" w:rsidP="00417A62">
      <w:pPr>
        <w:spacing w:line="360" w:lineRule="auto"/>
        <w:ind w:firstLine="708"/>
        <w:jc w:val="both"/>
        <w:rPr>
          <w:sz w:val="28"/>
        </w:rPr>
      </w:pPr>
      <w:r>
        <w:rPr>
          <w:i/>
          <w:sz w:val="28"/>
        </w:rPr>
        <w:t>Асимметричная информация</w:t>
      </w:r>
      <w:r>
        <w:rPr>
          <w:sz w:val="28"/>
        </w:rPr>
        <w:t xml:space="preserve"> наличие </w:t>
      </w:r>
      <w:r>
        <w:rPr>
          <w:i/>
          <w:sz w:val="28"/>
        </w:rPr>
        <w:t>одной стороны,</w:t>
      </w:r>
      <w:r>
        <w:rPr>
          <w:sz w:val="28"/>
        </w:rPr>
        <w:t xml:space="preserve">  недостаточного знания с другой стороны, вовлеченной в сделку, чтобы делать точные решения это важный аспект финансовых рынков. Например, менеджеры корпорации знают, являются ли они честными или имеют лучшую информацию о том, как хорошо их бизнес работает, чем акционеры такую </w:t>
      </w:r>
      <w:r>
        <w:rPr>
          <w:sz w:val="28"/>
        </w:rPr>
        <w:lastRenderedPageBreak/>
        <w:t>работу делают. Присутствие асимметричного информационного лидерства приведет к неблагоприятному выбору и моральным проблемам риска.</w:t>
      </w:r>
    </w:p>
    <w:p w:rsidR="00417A62" w:rsidRDefault="00417A62" w:rsidP="00417A62">
      <w:pPr>
        <w:spacing w:line="360" w:lineRule="auto"/>
        <w:ind w:firstLine="708"/>
        <w:jc w:val="both"/>
        <w:rPr>
          <w:sz w:val="28"/>
        </w:rPr>
      </w:pPr>
      <w:r>
        <w:rPr>
          <w:i/>
          <w:sz w:val="28"/>
        </w:rPr>
        <w:t>Неблагоприятный выбор</w:t>
      </w:r>
      <w:r>
        <w:rPr>
          <w:sz w:val="28"/>
        </w:rPr>
        <w:t xml:space="preserve"> это асимметричная информационная проблема, которая происходит </w:t>
      </w:r>
      <w:r>
        <w:rPr>
          <w:i/>
          <w:sz w:val="28"/>
        </w:rPr>
        <w:t>прежде, чем</w:t>
      </w:r>
      <w:r>
        <w:rPr>
          <w:sz w:val="28"/>
        </w:rPr>
        <w:t xml:space="preserve"> сделка происходит: Те, кто наиболее активно разыскивают ссуды это плохие рискованные потенциальные кредиты. Таким образом, стороны, кто наиболее вероятно, чтобы произвести нежелательный результат, наиболее вероятно, что хотят уЧАСТЬвовать в сделке. Например, больше рискованные или прямые крюки могли бы быть для большинство, забирают ссуду, потому что они знают, что они, вряд ли, заплатят это. Поскольку неблагоприятный выбор увеличивает возможности, что ссуда могла бы быть сделана к плохому риску кредита, кредиторы могут решать не давать любые ссуды даже притом, что есть хорошие риски кредита на рынке. </w:t>
      </w:r>
      <w:r>
        <w:rPr>
          <w:i/>
          <w:sz w:val="28"/>
        </w:rPr>
        <w:t>Моральная опасность</w:t>
      </w:r>
      <w:r>
        <w:rPr>
          <w:sz w:val="28"/>
        </w:rPr>
        <w:t xml:space="preserve"> возникает </w:t>
      </w:r>
      <w:r>
        <w:rPr>
          <w:i/>
          <w:sz w:val="28"/>
        </w:rPr>
        <w:t>после того, как</w:t>
      </w:r>
      <w:r>
        <w:rPr>
          <w:sz w:val="28"/>
        </w:rPr>
        <w:t xml:space="preserve"> сделка происходит: кредитор управляет риском, который заемщик уЧАСТЬвует в действиях, которые являются нежелательными с точки зрения кредитора, потому что они делают это менее вероятным, что ссуда будет заплаченной. Для примера, как только заемщики получили ссуду, они могут брать большие риски (которые имеют возможные высокие возвращения, но также и управляют большим риском неплатежа), потому что они играют с некоторыми еще деньгами. Поскольку моральная опасность (риск) понижает вероятность, что ссуда будет возмещена, кредиторы могут решать, что они предпочли бы не давать ссуду.</w:t>
      </w:r>
    </w:p>
    <w:p w:rsidR="00417A62" w:rsidRDefault="00417A62" w:rsidP="00417A62">
      <w:pPr>
        <w:pStyle w:val="3"/>
        <w:ind w:firstLine="720"/>
        <w:jc w:val="both"/>
        <w:rPr>
          <w:sz w:val="28"/>
        </w:rPr>
      </w:pPr>
      <w:r>
        <w:rPr>
          <w:sz w:val="28"/>
        </w:rPr>
        <w:t>4.ПРОБЛЕМА ЛИМОНОВ: КАК НЕБЛАГОПРИЯТНЫЙ ВЫБОР ВЛИЯЕТ НА ФИНАНСОВУЮ СТРУКТУРУ</w:t>
      </w:r>
    </w:p>
    <w:p w:rsidR="00417A62" w:rsidRDefault="00417A62" w:rsidP="00417A62">
      <w:pPr>
        <w:spacing w:line="360" w:lineRule="auto"/>
        <w:ind w:firstLine="708"/>
        <w:jc w:val="both"/>
        <w:rPr>
          <w:sz w:val="28"/>
        </w:rPr>
      </w:pPr>
      <w:r>
        <w:rPr>
          <w:sz w:val="28"/>
        </w:rPr>
        <w:t xml:space="preserve">Специфическая характеристика неблагоприятной проблемы выбора и как это вмешивается с эффективным функционированием рынка, была выделена в известной статье Джорджем Акерлофом. Это упомянуто как  </w:t>
      </w:r>
      <w:r>
        <w:rPr>
          <w:sz w:val="28"/>
        </w:rPr>
        <w:lastRenderedPageBreak/>
        <w:t>«проблема лимонов» потому что, это напоминает проблему, созданная лимонами в использованных автомобильных рынках</w:t>
      </w:r>
      <w:r>
        <w:rPr>
          <w:rStyle w:val="a5"/>
          <w:color w:val="000000"/>
          <w:sz w:val="28"/>
        </w:rPr>
        <w:footnoteReference w:id="2"/>
      </w:r>
      <w:r>
        <w:rPr>
          <w:sz w:val="28"/>
        </w:rPr>
        <w:t xml:space="preserve">. </w:t>
      </w:r>
    </w:p>
    <w:p w:rsidR="00417A62" w:rsidRDefault="00417A62" w:rsidP="00417A62">
      <w:pPr>
        <w:spacing w:line="360" w:lineRule="auto"/>
        <w:jc w:val="both"/>
        <w:rPr>
          <w:sz w:val="28"/>
        </w:rPr>
      </w:pPr>
      <w:r>
        <w:rPr>
          <w:sz w:val="28"/>
        </w:rPr>
        <w:t xml:space="preserve">Потенциальные покупатели использованных автомобилей, ЧАСТЬо неспособны, оценить качество автомобиля, то есть они не могут сообщить, является ли специфический используемый автомобиль хорошим автомобилем, который будет бежать хорошо или лимон, который будет непрерывно представлять им печаль (проблему с автомобилем). Цена автомобиля (плата покупателя) должна, отразить </w:t>
      </w:r>
      <w:r>
        <w:rPr>
          <w:i/>
          <w:sz w:val="28"/>
        </w:rPr>
        <w:t>среднее</w:t>
      </w:r>
      <w:r>
        <w:rPr>
          <w:sz w:val="28"/>
        </w:rPr>
        <w:t xml:space="preserve"> качество автомобиля на рынке, которая должен быть между низкой ценой лимона и высокой ценой хорошего автомобиля. Владелец используемого автомобиля, по контракту, более вероятно, будет знать, является ли его автомобиль персиком или лимоном. Если автомобиль - лимон, владелец - больше чем счастливый продать это по цене, покупатель желает оплачивать, который, являющийся между ценой лимона и хорошего автомобиля, больше чем цена лимона. Однако, если автомобиль - персик, владелец знает, что автомобиль недооценен, а покупатель желает купить, и так что владелец не хотеть продать этот автомобиль. В результате этого неблагоприятного выбора, очень немного хороших используемых автомобилей прибудут на рынок. Поскольку среднее качество используемого автомобиля, доступного на рынке будет низко, и потому что очень немного людей хотят купить лимон, </w:t>
      </w:r>
      <w:r>
        <w:rPr>
          <w:sz w:val="28"/>
        </w:rPr>
        <w:lastRenderedPageBreak/>
        <w:t>простое желание будет продать. Рынок использованных автомобилей будет функционировать слабо, если вообще этого будет.</w:t>
      </w:r>
    </w:p>
    <w:p w:rsidR="00417A62" w:rsidRDefault="00417A62" w:rsidP="00417A62">
      <w:pPr>
        <w:pStyle w:val="2"/>
        <w:jc w:val="both"/>
        <w:rPr>
          <w:sz w:val="28"/>
        </w:rPr>
      </w:pPr>
      <w:r>
        <w:rPr>
          <w:sz w:val="28"/>
        </w:rPr>
        <w:t>Лимоны в акциях и рынках обязательства</w:t>
      </w:r>
    </w:p>
    <w:p w:rsidR="00417A62" w:rsidRDefault="00417A62" w:rsidP="00417A62">
      <w:pPr>
        <w:spacing w:line="360" w:lineRule="auto"/>
        <w:ind w:firstLine="708"/>
        <w:jc w:val="both"/>
        <w:rPr>
          <w:sz w:val="28"/>
        </w:rPr>
      </w:pPr>
      <w:r>
        <w:rPr>
          <w:sz w:val="28"/>
        </w:rPr>
        <w:t xml:space="preserve">Подобная проблема лимонов возникает на рынках ценных бумаг, то есть долговом обязательстве и на рынке капитала (акции). Предположим, что наш друг Ирвинг Инвестор, потенциальный покупатель ценных бумаг типа обычных акций, не может различать между хорошими фирмами с высокой ожидаемой прибылью и низко рискованными и плохими фирмами с низкой ожидаемой прибылью и с высокими рисками. В этой ситуации, Ирвинг будет желать оплачивать только цену, которая отражает </w:t>
      </w:r>
      <w:r>
        <w:rPr>
          <w:i/>
          <w:sz w:val="28"/>
        </w:rPr>
        <w:t>среднее</w:t>
      </w:r>
      <w:r>
        <w:rPr>
          <w:sz w:val="28"/>
        </w:rPr>
        <w:t xml:space="preserve"> качество фирмы, выпускающая ценную бумагу, которая находится между ценами ценных бумаг от плохих фирм и ценами тех от хороших фирм. Если владельцы или менеджеры хорошей фирмы имеют лучшую информацию, чем Ирвинг и </w:t>
      </w:r>
      <w:r>
        <w:rPr>
          <w:i/>
          <w:sz w:val="28"/>
        </w:rPr>
        <w:t>знают</w:t>
      </w:r>
      <w:r>
        <w:rPr>
          <w:sz w:val="28"/>
        </w:rPr>
        <w:t>, что они - хорошая фирма, они знают, что их ценные бумаги недооценены и не будут хотеть продать их Ирвингу по цене, который он желает оплачивать. Единственное фирмы, желающие продавать ценные бумаги Ирвингу, будут плохие фирмы (потому что цена стоит выше, чем ценные бумаги). Наш друг Ирвинг - не глуп; он не хочет держать ценные бумаги в плохих фирмах, и следовательно он решит не купить ценные бумаги на рынке. В результате, подобном этому на рынке использованных автомобилей, этот рынок ценных бумаг не будет работать очень хорошо, потому что немного фирм продадут ценные бумаги на этом рынке, чтобы увеличить капитал.</w:t>
      </w:r>
    </w:p>
    <w:p w:rsidR="00417A62" w:rsidRDefault="00417A62" w:rsidP="00417A62">
      <w:pPr>
        <w:spacing w:line="360" w:lineRule="auto"/>
        <w:ind w:firstLine="708"/>
        <w:jc w:val="both"/>
        <w:rPr>
          <w:sz w:val="28"/>
        </w:rPr>
      </w:pPr>
      <w:r>
        <w:rPr>
          <w:sz w:val="28"/>
        </w:rPr>
        <w:t xml:space="preserve">Анализ подобен, если Ирвинг рассматривает покупку общего долгового инструмента на рынке обязательства скорее, чем доля акций. Ирвинг будет покупать обязательство только, если его процентная ставка достаточно высока, чтобы дать компенсацию ему за средний риск неплатежа </w:t>
      </w:r>
      <w:r>
        <w:rPr>
          <w:sz w:val="28"/>
        </w:rPr>
        <w:lastRenderedPageBreak/>
        <w:t xml:space="preserve">в пользу плохих фирм, пробующих продать долг. Хорошо осведомленные владельцы хорошей фирмы понимают, что они будут оплачивать более высокую процентную ставку чем, они должны, и так что они, вряд ли, будут хотеть заимствовать на этом рынке. </w:t>
      </w:r>
    </w:p>
    <w:p w:rsidR="00417A62" w:rsidRDefault="00417A62" w:rsidP="00417A62">
      <w:pPr>
        <w:spacing w:line="360" w:lineRule="auto"/>
        <w:ind w:firstLine="708"/>
        <w:jc w:val="both"/>
        <w:rPr>
          <w:sz w:val="28"/>
        </w:rPr>
      </w:pPr>
      <w:r>
        <w:rPr>
          <w:sz w:val="28"/>
        </w:rPr>
        <w:t>Только плохие фирмы будут желать заимствовать, и потому что инвесторы подобно Ирвингу не стремятся покупать обязательства, выпущенные плохими фирмами, они не будут, вероятно, покупать никакие обязательства вообще. Немного обязательств, вероятно, продадут на этом рынке, и так что это не будет хорошим источником финансирования.</w:t>
      </w:r>
    </w:p>
    <w:p w:rsidR="00417A62" w:rsidRDefault="00417A62" w:rsidP="00417A62">
      <w:pPr>
        <w:spacing w:line="360" w:lineRule="auto"/>
        <w:ind w:firstLine="708"/>
        <w:jc w:val="both"/>
        <w:rPr>
          <w:sz w:val="28"/>
        </w:rPr>
      </w:pPr>
      <w:r>
        <w:rPr>
          <w:sz w:val="28"/>
        </w:rPr>
        <w:t>Анализ, который мы только что провели, объясняет задачу 2 - почему рынок ценных бумаг - не первичный источник финансирования для бизнесов в никакой стране в мире. Это также частиччно объясняет задачу 1 - почему акции - не более важный источник финансирования для Американских бизнесов. Присутствие проблемы лимонов держит рынки ценных бумаг типа акции и рынков обязательства, чтобы не быть эффективным в направляющих фондах от спасателей заемщикам.</w:t>
      </w:r>
    </w:p>
    <w:p w:rsidR="00417A62" w:rsidRDefault="00417A62" w:rsidP="00417A62">
      <w:pPr>
        <w:spacing w:line="360" w:lineRule="auto"/>
        <w:jc w:val="both"/>
        <w:rPr>
          <w:sz w:val="28"/>
        </w:rPr>
      </w:pPr>
      <w:r>
        <w:rPr>
          <w:sz w:val="28"/>
        </w:rPr>
        <w:t>Инструменты, помогающие решить неблагоприятные проблемы с выбором</w:t>
      </w:r>
    </w:p>
    <w:p w:rsidR="00417A62" w:rsidRDefault="00417A62" w:rsidP="00417A62">
      <w:pPr>
        <w:spacing w:line="360" w:lineRule="auto"/>
        <w:jc w:val="both"/>
        <w:rPr>
          <w:sz w:val="28"/>
        </w:rPr>
      </w:pPr>
      <w:r>
        <w:rPr>
          <w:sz w:val="28"/>
        </w:rPr>
        <w:t xml:space="preserve">          В отсутствии асимметричной информации, проблема лимонов уходит. Если покупатели знают так много о качестве используемых автомобилей как продавцы так, что все смогли, различит хороший автомобиль от плохих, естественно покупатели будут желать оплачивать полную цену, хороших используемых автомобилей. Поскольку владельцы хороших используемых автомобилей могут теперь получить справедливую цену, они будут желать продавать им на рынке. Рынок будет иметь много сделок и будет делать его предназначенную работу направляющих хороших автомобилей  тем людям, кто хочет этот автомобиль.</w:t>
      </w:r>
    </w:p>
    <w:p w:rsidR="00417A62" w:rsidRDefault="00417A62" w:rsidP="00417A62">
      <w:pPr>
        <w:spacing w:line="360" w:lineRule="auto"/>
        <w:jc w:val="both"/>
        <w:rPr>
          <w:sz w:val="28"/>
        </w:rPr>
      </w:pPr>
      <w:r>
        <w:rPr>
          <w:sz w:val="28"/>
        </w:rPr>
        <w:lastRenderedPageBreak/>
        <w:t xml:space="preserve">          Точно так же, если покупатели ценных бумаг могут отличать хорошие фирмы от плохих, то они платят полную цену ценных бумаг, выпущенных хорошими фирмами, и хорошие фирмы продадут их ценные бумаги на рынке. Рынок ценных бумаг сможет перемещать из фонды в хорошие фирмы, которые имеют наиболее производительные инвестиционные возможности.</w:t>
      </w:r>
    </w:p>
    <w:p w:rsidR="00417A62" w:rsidRDefault="00417A62" w:rsidP="00417A62">
      <w:pPr>
        <w:spacing w:line="360" w:lineRule="auto"/>
        <w:ind w:firstLine="708"/>
        <w:jc w:val="both"/>
        <w:rPr>
          <w:sz w:val="28"/>
        </w:rPr>
      </w:pPr>
      <w:r>
        <w:rPr>
          <w:sz w:val="28"/>
        </w:rPr>
        <w:t xml:space="preserve">частЬное производство и продажа информации  решение неблагоприятной проблемы выбора на финансовых рынках, должны устранить асимметричную информацию, снабжая людей, о фондах с полными деталями о частнных инвесторах или фирмах, стремящихся финансировать их инвестиционную деятельность. Один из способов получить этот материал спасателю - кредиторам состоит в том, чтобы сделать так, чтобы частные компании собрали и произвели информацию, которая различает хороший от плохих фирм и затем продавать эту информацию покупателям ценных бумаг. В Соединенных Штатах, компании типа Стандарта и </w:t>
      </w:r>
      <w:r>
        <w:rPr>
          <w:sz w:val="28"/>
          <w:lang w:val="en-US"/>
        </w:rPr>
        <w:t>Poor</w:t>
      </w:r>
      <w:r>
        <w:rPr>
          <w:sz w:val="28"/>
        </w:rPr>
        <w:t>’</w:t>
      </w:r>
      <w:r>
        <w:rPr>
          <w:sz w:val="28"/>
          <w:lang w:val="en-US"/>
        </w:rPr>
        <w:t>s</w:t>
      </w:r>
      <w:r>
        <w:rPr>
          <w:sz w:val="28"/>
        </w:rPr>
        <w:t xml:space="preserve">, </w:t>
      </w:r>
      <w:r>
        <w:rPr>
          <w:sz w:val="28"/>
          <w:lang w:val="en-US"/>
        </w:rPr>
        <w:t>Moody</w:t>
      </w:r>
      <w:r>
        <w:rPr>
          <w:sz w:val="28"/>
        </w:rPr>
        <w:t>’</w:t>
      </w:r>
      <w:r>
        <w:rPr>
          <w:sz w:val="28"/>
          <w:lang w:val="en-US"/>
        </w:rPr>
        <w:t>s</w:t>
      </w:r>
      <w:r>
        <w:rPr>
          <w:sz w:val="28"/>
        </w:rPr>
        <w:t xml:space="preserve">, и </w:t>
      </w:r>
      <w:r>
        <w:rPr>
          <w:sz w:val="28"/>
          <w:lang w:val="en-US"/>
        </w:rPr>
        <w:t>Value</w:t>
      </w:r>
      <w:r>
        <w:rPr>
          <w:sz w:val="28"/>
        </w:rPr>
        <w:t xml:space="preserve"> </w:t>
      </w:r>
      <w:r>
        <w:rPr>
          <w:sz w:val="28"/>
          <w:lang w:val="en-US"/>
        </w:rPr>
        <w:t>Line</w:t>
      </w:r>
      <w:r>
        <w:rPr>
          <w:sz w:val="28"/>
        </w:rPr>
        <w:t xml:space="preserve"> собирают информацию относительно положений баланса фирм и инвестиционных действий, издают эти данные, и продают их подписчикам (частным лицам, библиотекам, и финансовым посредникам, вовлеченные на покупку ценных бумаг).</w:t>
      </w:r>
    </w:p>
    <w:p w:rsidR="00417A62" w:rsidRDefault="00417A62" w:rsidP="00417A62">
      <w:pPr>
        <w:spacing w:line="360" w:lineRule="auto"/>
        <w:ind w:firstLine="708"/>
        <w:jc w:val="both"/>
        <w:rPr>
          <w:sz w:val="28"/>
        </w:rPr>
      </w:pPr>
      <w:r>
        <w:rPr>
          <w:sz w:val="28"/>
        </w:rPr>
        <w:t xml:space="preserve">Система частного производства и продажи информации полностью не решает неблагоприятную проблему выбора на рынке ценных бумаг, из-за так называемой проблемы свободного всадника. Проблема свободного всадника происходит, когда люди, не оплачивают за информацию, но воспользуются преимуществом информации, за которую уже другие люди оплатили. Проблема свободного всадника предлагает, что частная продажа информации будет только частичное решение проблемы лимонов. Предположим, что вы только что купили информацию, сообщающая вам, которые фирмы, являются хорошими и которые являются плохими. Вы полагаете, что эта закупка </w:t>
      </w:r>
      <w:r>
        <w:rPr>
          <w:sz w:val="28"/>
        </w:rPr>
        <w:lastRenderedPageBreak/>
        <w:t>информации, заслуживающая внимания, потому что вы можете составлять стоимость приобретения этой информации, покупая ценные бумаги хороших фирм, которые были недооценены. Однако, когда наш инвестор Ирвинг видит вас покупающий некоторые ценные бумаги, он покупает прямо наряду с вами, даже при том, что он не оплатил за никакую информацию. Если много других таких фактов как у инвестора Ирвинга, повышенный спрос за недооцененные хорошие ценные бумаги, заставит их немедленно быть предложенными по низкой цене, чтобы отразить истинную ценность ценных бумаг.</w:t>
      </w:r>
    </w:p>
    <w:p w:rsidR="00417A62" w:rsidRDefault="00417A62" w:rsidP="00417A62">
      <w:pPr>
        <w:spacing w:line="360" w:lineRule="auto"/>
        <w:ind w:firstLine="708"/>
        <w:jc w:val="both"/>
        <w:rPr>
          <w:sz w:val="28"/>
        </w:rPr>
      </w:pPr>
      <w:r>
        <w:rPr>
          <w:sz w:val="28"/>
        </w:rPr>
        <w:t xml:space="preserve">В результате всех этих свободных наездников, вы больше не можете покупать ценные бумаги за меньше чем их истинную ценность. Теперь, после того как выяснилось, что вы не будете получать никакую дополнительную прибыль от покупки информации, вы понимаете, что вы никогда не должны были оплатить за эту информацию. Если другие инвесторы окажутся в этой же положении, то частные фирмы и частнные инвесторы не могут продавать эту информацию в достаточном количестве, чтобы делать это стоящей для них. Ослабленная способность частных фирм, чтобы получить прибыль от продажи информации будет подразумевать, что меньшее количество информации реализовано на рынке, и так что неблагоприятный выбор (проблема лимонов) будет все еще сталкиваться с эффективным функционированием рынка ценных бумаг. Правительственное регулирование проблемы свободного наездника предотвращает частный рынок от создания достаточной информации, чтобы устранить всю асимметричную информацию, которая ведет к неблагоприятному выбору. Финансовые рынки могли извлекать выгоду от правительственного вмешательства? Правительство могло, например, производить информацию, чтобы помочь инвесторам, различить хорошей от плохих фирм и это предоставлять публике </w:t>
      </w:r>
      <w:r>
        <w:rPr>
          <w:sz w:val="28"/>
        </w:rPr>
        <w:lastRenderedPageBreak/>
        <w:t>бесплатно. Это решение, однако, вовлекло бы правительство в выпуске отрицательной информации о фирмах, практика, которая могла бы быть политически трудна. Вторая возможность (и один из следующих для Соединенных Штатов и большинство правительств во всем мире) - для правительства, чтобы регулировать рынки ценных бумаг в пути, который поощряет фирмы показывать честную информацию о себе так, чтобы инвесторы могли определять насколько хорошие или плохие фирмы. В Соединенных Штатах, Комиссия по ценным бумагам и обменам (</w:t>
      </w:r>
      <w:r>
        <w:rPr>
          <w:sz w:val="28"/>
          <w:lang w:val="en-US"/>
        </w:rPr>
        <w:t>SEC</w:t>
      </w:r>
      <w:r>
        <w:rPr>
          <w:sz w:val="28"/>
        </w:rPr>
        <w:t>) - правительственное агентство, которое требует фирм, продающих их ценные бумаги на общественных рынках, чтобы твердо придержаться стандарта, считающего принципы и раскрыть информацию об их продажах, активах, и доходе. Подобные инструкции имеются и в других странах.</w:t>
      </w:r>
    </w:p>
    <w:p w:rsidR="00417A62" w:rsidRDefault="00417A62" w:rsidP="00417A62">
      <w:pPr>
        <w:spacing w:line="360" w:lineRule="auto"/>
        <w:ind w:firstLine="708"/>
        <w:jc w:val="both"/>
        <w:rPr>
          <w:sz w:val="28"/>
        </w:rPr>
      </w:pPr>
      <w:r>
        <w:rPr>
          <w:sz w:val="28"/>
        </w:rPr>
        <w:t>Асимметричная информационная проблема неблагоприятного выбора в финансовой помощи рынков объясняет, почему финансовые рынки являются наиболее тяжело регулируемых секторов в экономике.  Правительственное регулирование необходимо, чтобы увеличить информацию для инвесторов, и чтобы уменьшить неблагоприятную проблему выбора, которая вмешивается с эффективным функционированием рынка ценных бумаг (акции и обязательство).</w:t>
      </w:r>
    </w:p>
    <w:p w:rsidR="00417A62" w:rsidRDefault="00417A62" w:rsidP="00417A62">
      <w:pPr>
        <w:spacing w:line="360" w:lineRule="auto"/>
        <w:ind w:firstLine="708"/>
        <w:jc w:val="both"/>
        <w:rPr>
          <w:sz w:val="28"/>
        </w:rPr>
      </w:pPr>
      <w:r>
        <w:rPr>
          <w:sz w:val="28"/>
        </w:rPr>
        <w:t xml:space="preserve">Хотя правительственное регулирование уменьшает неблагоприятную проблему выбора, это полностью не устраняет его. Даже, когда фирмы обеспечивают информацию к публике об их продажах, активах, или доходе, они все еще имеют большее количество информации, чем инвесторы: есть намного больше к знанию качества фирмы, чем статистика, может обеспечивать. Кроме того, плохие фирмы имеют стимул заставить себя напомнить как хорошие фирмы, потому что это позволило бы им привести более высокую цену за их ценные бумаги. Плохие фирмы наклонят </w:t>
      </w:r>
      <w:r>
        <w:rPr>
          <w:sz w:val="28"/>
        </w:rPr>
        <w:lastRenderedPageBreak/>
        <w:t>информацию, которую они требуются, чтобы передать к публике, таким образом, делая это тяжелее для инвесторов, чтобы разобраться в хороших фирмах и плохих.</w:t>
      </w:r>
    </w:p>
    <w:p w:rsidR="00417A62" w:rsidRDefault="00417A62" w:rsidP="00417A62">
      <w:pPr>
        <w:spacing w:line="360" w:lineRule="auto"/>
        <w:ind w:firstLine="708"/>
        <w:jc w:val="both"/>
        <w:rPr>
          <w:sz w:val="28"/>
        </w:rPr>
      </w:pPr>
      <w:r>
        <w:rPr>
          <w:b/>
          <w:sz w:val="28"/>
        </w:rPr>
        <w:t>Финансовое посредничество.</w:t>
      </w:r>
      <w:r>
        <w:rPr>
          <w:sz w:val="28"/>
        </w:rPr>
        <w:t xml:space="preserve"> Пока мы видели, что частное производство информационного и правительственного регулирования, чтобы поощрить условие информации уменьшается, но не устраняет неблагоприятную проблему выбора на финансовых рынках. Как, тогда, финансовая структура помогает, может продвигать поток фондов людям с производительными инвестиционными возможностями, когда есть асимметричная информация? Ключ обеспечивает структура рынка использованных автомобилей. Важная особенность рынка использованных автомобилей это то, что наиболее используемые автомобили не проданы непосредственно ни одним ЧАСТЬным инвестором к другому. ЧАСТЬный инвестор, рассматривающий покупающий а </w:t>
      </w:r>
      <w:r>
        <w:rPr>
          <w:spacing w:val="6"/>
          <w:sz w:val="28"/>
        </w:rPr>
        <w:t>и</w:t>
      </w:r>
      <w:r>
        <w:rPr>
          <w:sz w:val="28"/>
        </w:rPr>
        <w:t xml:space="preserve">спользуемый автомобиль мог бы оплачивать конфиденциально произведенную информацию, подписавшись на журнал подобно </w:t>
      </w:r>
      <w:r>
        <w:rPr>
          <w:i/>
          <w:sz w:val="28"/>
        </w:rPr>
        <w:t>Сообщениям Потребителя</w:t>
      </w:r>
      <w:r>
        <w:rPr>
          <w:sz w:val="28"/>
        </w:rPr>
        <w:t xml:space="preserve">, чтобы выяснить, делают ли специфический из автомобиля, имеет хороший отчет о ремонте. Однако, читая </w:t>
      </w:r>
      <w:r>
        <w:rPr>
          <w:i/>
          <w:sz w:val="28"/>
        </w:rPr>
        <w:t>Сообщения Потребителя,</w:t>
      </w:r>
      <w:r>
        <w:rPr>
          <w:sz w:val="28"/>
        </w:rPr>
        <w:t xml:space="preserve"> не решает неблагоприятную проблему выбора, потому что, даже если специфический делают из автомобиля, которое имеет хорошую репутацию, определенный автомобиль, который кто - то попробует продавать, может быть, лимон. Предполагаемый покупатель мог бы также приносить используемый автомобиль механику для поверхностного осмотра. Но что, если предполагаемый покупатель не знает механика, кому можно доверять или если, механик зарядил бы высокую плату, чтобы оценить автомобиль?</w:t>
      </w:r>
    </w:p>
    <w:p w:rsidR="00417A62" w:rsidRDefault="00417A62" w:rsidP="00417A62">
      <w:pPr>
        <w:spacing w:line="360" w:lineRule="auto"/>
        <w:ind w:firstLine="708"/>
        <w:jc w:val="both"/>
        <w:rPr>
          <w:sz w:val="28"/>
        </w:rPr>
      </w:pPr>
      <w:r>
        <w:rPr>
          <w:sz w:val="28"/>
        </w:rPr>
        <w:t xml:space="preserve">Поскольку это блокирование дороги делает трудно для индивидуумов, чтобы приобрести достаточную информацию об использованных </w:t>
      </w:r>
      <w:r>
        <w:rPr>
          <w:sz w:val="28"/>
        </w:rPr>
        <w:lastRenderedPageBreak/>
        <w:t>автомобилях, наиболее используемые автомобили, не проданы непосредственно ни одним частным лицом другому. Вместо этого, они были проданы посредником, дилером использованных автомобилей. Кто купит используемые автомобили от индивидуумов и перепродает их другим индивидуумам? Дилеры использованных автомобилей производят информацию на рынке, становясь экспертами в определении, является ли автомобиль персиком или лимоном. Как только они знают, что автомобиль хорош, они могут продавать это с некоторой формой гарантии - или гарантировать, что это типа гарантии  или неявной гарантии, в которой они ставят репутацию честности. Люди, более вероятно, купят используемый автомобиль из-за гарантии дилера, и дилер делает прибыль от производства информации о качестве автомобиля, являясь способным продать используемый автомобиль по более высокой цене, чем дилер, оплаченный за это. Если дилеры купят и затем перепродают автомобили, на которых они произвели информацию, они избегают проблемы других людей, свободно едущих на информации, которую они произвели.</w:t>
      </w:r>
    </w:p>
    <w:p w:rsidR="00417A62" w:rsidRDefault="00417A62" w:rsidP="00417A62">
      <w:pPr>
        <w:spacing w:line="360" w:lineRule="auto"/>
        <w:ind w:firstLine="708"/>
        <w:jc w:val="both"/>
        <w:rPr>
          <w:sz w:val="28"/>
        </w:rPr>
      </w:pPr>
      <w:r>
        <w:rPr>
          <w:sz w:val="28"/>
        </w:rPr>
        <w:t xml:space="preserve">Также как, помощь дилеров использованных автомобилей решает неблагоприятные проблемы выбора на автомобильных рынках, финансовые посредники, играют важную роль на финансовых рынках. Финансовый посредник типа банк становится экспертом в производстве информации о фирмах так, чтобы это могло разбираться в рисках хорошего кредита и плохих. Тогда это может приобретать фонды от депозиторов и предоставлять их хорошим фирмам. Поскольку банк может предоставлять ссуду главным образом хорошим фирмам, то здесь можно зарабатывать более высокое возвращение по его ссудам, чем по процентам, который это должно оплатить на его депозиты. В результате, банк зарабатывает прибыль, которая </w:t>
      </w:r>
      <w:r>
        <w:rPr>
          <w:sz w:val="28"/>
        </w:rPr>
        <w:lastRenderedPageBreak/>
        <w:t>позволяет этому участвовать в этой информационной деятельности производства.</w:t>
      </w:r>
    </w:p>
    <w:p w:rsidR="00417A62" w:rsidRDefault="00417A62" w:rsidP="00417A62">
      <w:pPr>
        <w:spacing w:line="360" w:lineRule="auto"/>
        <w:ind w:firstLine="708"/>
        <w:jc w:val="both"/>
        <w:rPr>
          <w:sz w:val="28"/>
        </w:rPr>
      </w:pPr>
      <w:r>
        <w:rPr>
          <w:sz w:val="28"/>
        </w:rPr>
        <w:t xml:space="preserve">Важный элемент в способности банка, чтобы получить прибыль от информации, которую это производит - то, что это избегает проблемы свободного наездника, прежде всего, делая частные ссуды скорее, чем востребованными ценными бумагами, которыми торгуют на открытом рынке. Поскольку частной ссудой не торгуют, другие инвесторы не могут наблюдать то, что банк делает и предложение цену ссуды к сути, что банк не получает никакую компенсацию за информацию, которую это произвело. Роль банка как посредник, который является главным образом, неторговая, ссуды это ключ к его успеху в сокращении асимметричной информации на финансовых рынках. Наш анализ неблагоприятного выбора указывает, что финансовые посредники вообще, и банки в особенности, потому что они держат большую долю не торговавших ссуд, должны играть, большую роль в перемещающихся фондах к корпорациям, чем это делается на рынке ценных бумаг. Наш анализ, таким образом, объясняет задачу 3 и 4: почему косвенные финансы так гораздо более важны чем прямые финансы и почему банки - наиболее важный источник внешних фондов для финансирования бизнеса. Другой важный факт, который объясняется анализом здесь, что это большая важность банков в финансовых системах развивающихся стран. Поскольку мы видели, когда качество информации о фирмах лучше, асимметрично </w:t>
      </w:r>
      <w:r>
        <w:rPr>
          <w:spacing w:val="4"/>
          <w:sz w:val="28"/>
        </w:rPr>
        <w:t>и</w:t>
      </w:r>
      <w:r>
        <w:rPr>
          <w:sz w:val="28"/>
        </w:rPr>
        <w:t xml:space="preserve">нформационные проблемы будут менее серьезны, и это будет более легко для фирм, чтобы выпустить ценные бумаги. Информацию о частных фирмах тяжелее собирать из развивающихся стран, чем с промышленных стран; поэтому, малая роль, сыгранная на рынке ценных бумаг оставляет большую роль для финансовых посредников типа как банки. Заключение этого анализа  в том, что, поскольку информация о фирмах становится более доступной, </w:t>
      </w:r>
      <w:r>
        <w:rPr>
          <w:sz w:val="28"/>
        </w:rPr>
        <w:lastRenderedPageBreak/>
        <w:t>чтобы приобрести их, роль банков должна снижаться. Главное развитие в прошлых 20 годах в Соединенных Штатах было огромные усовершенствования информационной технологии. Таким образом, анализ здесь предлагает, чтобы роль предоставления финансовых учреждений типа банков в Соединенных Штатах снизилась, и это - точно произошло.</w:t>
      </w:r>
    </w:p>
    <w:p w:rsidR="00417A62" w:rsidRDefault="00417A62" w:rsidP="00417A62">
      <w:pPr>
        <w:spacing w:line="360" w:lineRule="auto"/>
        <w:ind w:firstLine="708"/>
        <w:jc w:val="both"/>
        <w:rPr>
          <w:sz w:val="28"/>
        </w:rPr>
      </w:pPr>
      <w:r>
        <w:rPr>
          <w:sz w:val="28"/>
        </w:rPr>
        <w:t xml:space="preserve">Наш анализ неблагоприятного выбора также объясняет, который фирмы, более вероятно, получат фонды от банков и финансовых посредников, косвенного маршрута, скорее, чем непосредственно от рынков ценных бумаг. Чем лучше известна корпорация, тем больше количество информации об их действиях доступных на рынке. Таким образом, это более легко для инвесторов, чтобы оценить качество корпорации и определить, является ли это хорошей фирмой или плохой. Поскольку инвесторы имеют меньше количество забот о неблагоприятном выборе с известными корпорациями, они будут желать вкладывать непосредственно в их ценные бумаги. Следовательно, мы имеем объяснение к задаче 6: Чем большее количество зрелых корпораций, тем большее количество информационных инвесторов имеют об этом, и более вероятно то, что корпорация может увеличат фонды на рынке ценных бумаг. </w:t>
      </w:r>
    </w:p>
    <w:p w:rsidR="00417A62" w:rsidRDefault="00417A62" w:rsidP="00417A62">
      <w:pPr>
        <w:spacing w:line="360" w:lineRule="auto"/>
        <w:ind w:firstLine="708"/>
        <w:jc w:val="both"/>
        <w:rPr>
          <w:sz w:val="28"/>
        </w:rPr>
      </w:pPr>
      <w:r>
        <w:rPr>
          <w:sz w:val="28"/>
        </w:rPr>
        <w:t xml:space="preserve">Имущественный залог и собственный капитал. Неблагоприятный выбор сталкивается с функционированием финансовых рынков только тогда, если кредитор переносит потерю, когда заемщики, неспособны, делать платежи ссуды и таким образом не выполняют обязательств. Если заемщик не выполняет обязательств по ссуде, кредитор может продавать имущественный залог и использовать доходы, чтобы восполнить потери по ссуде. Например, если вы будете не в состоянии делать ваши платежи заклада, кредитор может брать право на ваш дом, через аукцион это, и использовать квитанции, чтобы оплатить ссуду. Кредиторы, таким образом, </w:t>
      </w:r>
      <w:r>
        <w:rPr>
          <w:sz w:val="28"/>
        </w:rPr>
        <w:lastRenderedPageBreak/>
        <w:t>больше желают давать ссуды, защищенные имущественным залогом, и заемщики желают снабжать имущественный залог, потому что уменьшенный риск для кредитора делает это более вероятно, и они получат ссуду, во-первых, и возможно по лучшей ставке ссуды. Присутствие неблагоприятного выбора на рынках кредита, таким образом, обеспечивает объяснение того, почему имущественный залог является важной особенностью долговых контрактов.</w:t>
      </w:r>
    </w:p>
    <w:p w:rsidR="00417A62" w:rsidRDefault="00417A62" w:rsidP="00417A62">
      <w:pPr>
        <w:pStyle w:val="23"/>
        <w:rPr>
          <w:sz w:val="28"/>
        </w:rPr>
      </w:pPr>
      <w:r>
        <w:rPr>
          <w:sz w:val="28"/>
        </w:rPr>
        <w:t xml:space="preserve">Собственный капитал, различие между активами фирмы (что это собственное или долговое) и ее долги (что это задолжает), может исполнять аналогичную роль к имущественному залогу. Если фирма имеет высокий собственный капитал, то, даже если это участвует в инвестициях, которые заставляют этому иметь отрицательную прибыль и неплатежи на его долговых платежах, кредитор может брать поток к собственному капиталу фирмы, распродавать это, и использовать доходы, чтобы возместить некоторых из потерь от ссуды. Кроме того, чем большее количество собственного капитала, который фирма имеет, во-первых, тем менее вероятная, это должно не выполнить обязательств, потому что фирма имеет подушку активов, что это может использовать, чтобы оплатить ее ссуды. Следовательно, когда фирмы, ищут кредит, имея высокий собственный капитал, последствия которых неблагоприятного выбора менее важны, и кредиторы больше желают давать ссуды. </w:t>
      </w:r>
    </w:p>
    <w:p w:rsidR="00417A62" w:rsidRDefault="00417A62" w:rsidP="00417A62">
      <w:pPr>
        <w:spacing w:line="360" w:lineRule="auto"/>
        <w:ind w:firstLine="708"/>
        <w:jc w:val="both"/>
        <w:rPr>
          <w:b/>
          <w:sz w:val="28"/>
        </w:rPr>
      </w:pPr>
    </w:p>
    <w:p w:rsidR="00417A62" w:rsidRDefault="00417A62" w:rsidP="00417A62">
      <w:pPr>
        <w:spacing w:line="360" w:lineRule="auto"/>
        <w:ind w:firstLine="708"/>
        <w:jc w:val="both"/>
        <w:rPr>
          <w:b/>
          <w:sz w:val="28"/>
        </w:rPr>
      </w:pPr>
      <w:r>
        <w:rPr>
          <w:b/>
          <w:sz w:val="28"/>
        </w:rPr>
        <w:t>Ключевый слова:</w:t>
      </w:r>
      <w:r>
        <w:rPr>
          <w:sz w:val="28"/>
        </w:rPr>
        <w:t xml:space="preserve"> финансовой системы, кредит, собственный капитал, финансовых рынках, асимметричная информация, акция, ликвидности, рынок ценных бумаг,</w:t>
      </w:r>
      <w:r>
        <w:rPr>
          <w:i/>
          <w:sz w:val="28"/>
        </w:rPr>
        <w:t xml:space="preserve"> </w:t>
      </w:r>
      <w:r>
        <w:rPr>
          <w:sz w:val="28"/>
        </w:rPr>
        <w:t>взаимный фонд, экономический анализ.</w:t>
      </w:r>
    </w:p>
    <w:p w:rsidR="00417A62" w:rsidRDefault="00417A62" w:rsidP="00417A62">
      <w:pPr>
        <w:spacing w:line="360" w:lineRule="auto"/>
        <w:ind w:firstLine="708"/>
        <w:jc w:val="both"/>
        <w:rPr>
          <w:b/>
          <w:sz w:val="28"/>
        </w:rPr>
      </w:pPr>
      <w:r>
        <w:rPr>
          <w:b/>
          <w:sz w:val="28"/>
        </w:rPr>
        <w:br w:type="page"/>
      </w:r>
      <w:r>
        <w:rPr>
          <w:b/>
          <w:sz w:val="28"/>
        </w:rPr>
        <w:lastRenderedPageBreak/>
        <w:t>Вопросы для контроля:</w:t>
      </w:r>
    </w:p>
    <w:p w:rsidR="00417A62" w:rsidRDefault="00417A62" w:rsidP="00417A62">
      <w:pPr>
        <w:numPr>
          <w:ilvl w:val="0"/>
          <w:numId w:val="4"/>
        </w:numPr>
        <w:spacing w:line="360" w:lineRule="auto"/>
        <w:jc w:val="both"/>
        <w:rPr>
          <w:sz w:val="28"/>
        </w:rPr>
      </w:pPr>
      <w:r>
        <w:rPr>
          <w:sz w:val="28"/>
        </w:rPr>
        <w:t>Что такое финансовая система?</w:t>
      </w:r>
    </w:p>
    <w:p w:rsidR="00417A62" w:rsidRDefault="00417A62" w:rsidP="00417A62">
      <w:pPr>
        <w:numPr>
          <w:ilvl w:val="0"/>
          <w:numId w:val="4"/>
        </w:numPr>
        <w:spacing w:line="360" w:lineRule="auto"/>
        <w:jc w:val="both"/>
        <w:rPr>
          <w:sz w:val="28"/>
        </w:rPr>
      </w:pPr>
      <w:r>
        <w:rPr>
          <w:sz w:val="28"/>
        </w:rPr>
        <w:t>Какаие затраты называются операционными затратами?</w:t>
      </w:r>
    </w:p>
    <w:p w:rsidR="00417A62" w:rsidRDefault="00417A62" w:rsidP="00417A62">
      <w:pPr>
        <w:numPr>
          <w:ilvl w:val="0"/>
          <w:numId w:val="4"/>
        </w:numPr>
        <w:spacing w:line="360" w:lineRule="auto"/>
        <w:jc w:val="both"/>
        <w:rPr>
          <w:sz w:val="28"/>
        </w:rPr>
      </w:pPr>
      <w:r>
        <w:rPr>
          <w:sz w:val="28"/>
        </w:rPr>
        <w:t>Что называется кредитом?</w:t>
      </w:r>
    </w:p>
    <w:p w:rsidR="00417A62" w:rsidRDefault="00417A62" w:rsidP="00417A62">
      <w:pPr>
        <w:numPr>
          <w:ilvl w:val="0"/>
          <w:numId w:val="4"/>
        </w:numPr>
        <w:spacing w:line="360" w:lineRule="auto"/>
        <w:jc w:val="both"/>
        <w:rPr>
          <w:sz w:val="28"/>
        </w:rPr>
      </w:pPr>
      <w:r>
        <w:rPr>
          <w:sz w:val="28"/>
        </w:rPr>
        <w:t>Какая разница между финансовым рынком и ценными бумагами?</w:t>
      </w:r>
    </w:p>
    <w:p w:rsidR="00417A62" w:rsidRDefault="00417A62" w:rsidP="00417A62">
      <w:pPr>
        <w:numPr>
          <w:ilvl w:val="0"/>
          <w:numId w:val="4"/>
        </w:numPr>
        <w:spacing w:line="360" w:lineRule="auto"/>
        <w:jc w:val="both"/>
        <w:rPr>
          <w:sz w:val="28"/>
        </w:rPr>
      </w:pPr>
      <w:r>
        <w:rPr>
          <w:sz w:val="28"/>
        </w:rPr>
        <w:t>Понятие  экономического анализа?</w:t>
      </w:r>
    </w:p>
    <w:p w:rsidR="00417A62" w:rsidRDefault="00417A62" w:rsidP="00417A62">
      <w:pPr>
        <w:numPr>
          <w:ilvl w:val="0"/>
          <w:numId w:val="4"/>
        </w:numPr>
        <w:spacing w:line="360" w:lineRule="auto"/>
        <w:jc w:val="both"/>
        <w:rPr>
          <w:b/>
          <w:sz w:val="28"/>
        </w:rPr>
      </w:pPr>
      <w:r>
        <w:rPr>
          <w:sz w:val="28"/>
        </w:rPr>
        <w:t>Перечислите виды акций?</w:t>
      </w:r>
    </w:p>
    <w:p w:rsidR="00417A62" w:rsidRDefault="00417A62" w:rsidP="00417A62">
      <w:pPr>
        <w:spacing w:line="360" w:lineRule="auto"/>
        <w:ind w:firstLine="360"/>
        <w:jc w:val="both"/>
        <w:rPr>
          <w:b/>
          <w:sz w:val="28"/>
        </w:rPr>
      </w:pPr>
    </w:p>
    <w:p w:rsidR="00417A62" w:rsidRDefault="00417A62" w:rsidP="00417A62">
      <w:pPr>
        <w:spacing w:line="360" w:lineRule="auto"/>
        <w:jc w:val="both"/>
        <w:rPr>
          <w:b/>
          <w:sz w:val="28"/>
        </w:rPr>
      </w:pPr>
      <w:r>
        <w:rPr>
          <w:b/>
          <w:sz w:val="28"/>
        </w:rPr>
        <w:t>Литература:</w:t>
      </w:r>
    </w:p>
    <w:p w:rsidR="00417A62" w:rsidRDefault="00417A62" w:rsidP="00417A62">
      <w:pPr>
        <w:numPr>
          <w:ilvl w:val="0"/>
          <w:numId w:val="2"/>
        </w:numPr>
        <w:spacing w:line="360" w:lineRule="auto"/>
        <w:jc w:val="both"/>
        <w:rPr>
          <w:sz w:val="28"/>
          <w:lang w:val="en-US"/>
        </w:rPr>
      </w:pPr>
      <w:r>
        <w:rPr>
          <w:sz w:val="28"/>
          <w:lang w:val="en-US"/>
        </w:rPr>
        <w:t>Turalay Kenc «Corporate finance», Text Lectures, 2004. Lecture 10.</w:t>
      </w:r>
    </w:p>
    <w:p w:rsidR="00417A62" w:rsidRDefault="00417A62" w:rsidP="00417A62">
      <w:pPr>
        <w:numPr>
          <w:ilvl w:val="0"/>
          <w:numId w:val="2"/>
        </w:numPr>
        <w:spacing w:before="100" w:after="100" w:line="360" w:lineRule="auto"/>
        <w:jc w:val="both"/>
        <w:rPr>
          <w:color w:val="000000"/>
          <w:sz w:val="28"/>
          <w:lang w:val="en-US"/>
        </w:rPr>
      </w:pPr>
      <w:r>
        <w:rPr>
          <w:sz w:val="28"/>
          <w:lang w:val="en-US"/>
        </w:rPr>
        <w:t>Brealey R., S. Myers «Principles of corporate finance» 6</w:t>
      </w:r>
      <w:r>
        <w:rPr>
          <w:sz w:val="28"/>
          <w:vertAlign w:val="superscript"/>
          <w:lang w:val="en-US"/>
        </w:rPr>
        <w:t xml:space="preserve">th </w:t>
      </w:r>
      <w:r>
        <w:rPr>
          <w:sz w:val="28"/>
          <w:lang w:val="en-US"/>
        </w:rPr>
        <w:t>editions</w:t>
      </w:r>
      <w:r>
        <w:rPr>
          <w:sz w:val="28"/>
          <w:vertAlign w:val="superscript"/>
          <w:lang w:val="en-US"/>
        </w:rPr>
        <w:t xml:space="preserve"> , </w:t>
      </w:r>
      <w:r>
        <w:rPr>
          <w:sz w:val="28"/>
          <w:lang w:val="en-US"/>
        </w:rPr>
        <w:t>Irvin- McGraw-Hill.2000.</w:t>
      </w:r>
    </w:p>
    <w:p w:rsidR="00417A62" w:rsidRDefault="00417A62" w:rsidP="00417A62">
      <w:pPr>
        <w:numPr>
          <w:ilvl w:val="0"/>
          <w:numId w:val="2"/>
        </w:numPr>
        <w:spacing w:line="360" w:lineRule="auto"/>
        <w:jc w:val="both"/>
        <w:rPr>
          <w:spacing w:val="-8"/>
          <w:sz w:val="28"/>
        </w:rPr>
      </w:pPr>
      <w:r>
        <w:rPr>
          <w:spacing w:val="-8"/>
          <w:sz w:val="28"/>
        </w:rPr>
        <w:t xml:space="preserve">Родионова В.Н., Федотова М.А.. Финансовая устойчивость предприятия в условиях инфляции.- Москва, </w:t>
      </w:r>
      <w:smartTag w:uri="urn:schemas-microsoft-com:office:smarttags" w:element="metricconverter">
        <w:smartTagPr>
          <w:attr w:name="ProductID" w:val="2001 г"/>
        </w:smartTagPr>
        <w:r>
          <w:rPr>
            <w:spacing w:val="-8"/>
            <w:sz w:val="28"/>
          </w:rPr>
          <w:t>2001 г</w:t>
        </w:r>
      </w:smartTag>
      <w:r>
        <w:rPr>
          <w:spacing w:val="-8"/>
          <w:sz w:val="28"/>
        </w:rPr>
        <w:t>.</w:t>
      </w:r>
    </w:p>
    <w:p w:rsidR="00417A62" w:rsidRDefault="00417A62" w:rsidP="00417A62">
      <w:pPr>
        <w:numPr>
          <w:ilvl w:val="0"/>
          <w:numId w:val="2"/>
        </w:numPr>
        <w:spacing w:line="360" w:lineRule="auto"/>
        <w:jc w:val="both"/>
        <w:rPr>
          <w:spacing w:val="-8"/>
          <w:sz w:val="28"/>
        </w:rPr>
      </w:pPr>
      <w:r>
        <w:rPr>
          <w:spacing w:val="-8"/>
          <w:sz w:val="28"/>
        </w:rPr>
        <w:t xml:space="preserve">Родионов Н.В., Родионова В.М. Основы финансового анализа: Математические методы. - Москва, </w:t>
      </w:r>
      <w:smartTag w:uri="urn:schemas-microsoft-com:office:smarttags" w:element="metricconverter">
        <w:smartTagPr>
          <w:attr w:name="ProductID" w:val="2004 г"/>
        </w:smartTagPr>
        <w:r>
          <w:rPr>
            <w:spacing w:val="-8"/>
            <w:sz w:val="28"/>
          </w:rPr>
          <w:t>2004 г</w:t>
        </w:r>
      </w:smartTag>
      <w:r>
        <w:rPr>
          <w:spacing w:val="-8"/>
          <w:sz w:val="28"/>
        </w:rPr>
        <w:t>.</w:t>
      </w:r>
    </w:p>
    <w:p w:rsidR="00417A62" w:rsidRDefault="00417A62" w:rsidP="00417A62">
      <w:pPr>
        <w:numPr>
          <w:ilvl w:val="0"/>
          <w:numId w:val="2"/>
        </w:numPr>
        <w:spacing w:line="360" w:lineRule="auto"/>
        <w:jc w:val="both"/>
        <w:rPr>
          <w:snapToGrid w:val="0"/>
          <w:sz w:val="28"/>
        </w:rPr>
      </w:pPr>
      <w:r>
        <w:rPr>
          <w:sz w:val="28"/>
        </w:rPr>
        <w:t xml:space="preserve">Финансовий анализ деятельности фирмы. - М.: «Крокус - Интернешнл”, </w:t>
      </w:r>
      <w:smartTag w:uri="urn:schemas-microsoft-com:office:smarttags" w:element="metricconverter">
        <w:smartTagPr>
          <w:attr w:name="ProductID" w:val="2002 г"/>
        </w:smartTagPr>
        <w:r>
          <w:rPr>
            <w:sz w:val="28"/>
          </w:rPr>
          <w:t>2002 г</w:t>
        </w:r>
      </w:smartTag>
      <w:r>
        <w:rPr>
          <w:sz w:val="28"/>
        </w:rPr>
        <w:t>.</w:t>
      </w:r>
    </w:p>
    <w:p w:rsidR="00417A62" w:rsidRDefault="00417A62" w:rsidP="00417A62">
      <w:pPr>
        <w:numPr>
          <w:ilvl w:val="0"/>
          <w:numId w:val="2"/>
        </w:numPr>
        <w:spacing w:line="360" w:lineRule="auto"/>
        <w:jc w:val="both"/>
        <w:rPr>
          <w:spacing w:val="-8"/>
          <w:sz w:val="28"/>
        </w:rPr>
      </w:pPr>
      <w:r>
        <w:rPr>
          <w:spacing w:val="-8"/>
          <w:sz w:val="28"/>
        </w:rPr>
        <w:t xml:space="preserve">Хеддервик К. Финансово-экономический анализ деятельности предприятий. –М.: «Финансы и статистика», </w:t>
      </w:r>
      <w:smartTag w:uri="urn:schemas-microsoft-com:office:smarttags" w:element="metricconverter">
        <w:smartTagPr>
          <w:attr w:name="ProductID" w:val="2002 г"/>
        </w:smartTagPr>
        <w:r>
          <w:rPr>
            <w:spacing w:val="-8"/>
            <w:sz w:val="28"/>
          </w:rPr>
          <w:t>2002 г</w:t>
        </w:r>
      </w:smartTag>
      <w:r>
        <w:rPr>
          <w:spacing w:val="-8"/>
          <w:sz w:val="28"/>
        </w:rPr>
        <w:t>.</w:t>
      </w:r>
    </w:p>
    <w:p w:rsidR="00417A62" w:rsidRDefault="00417A62" w:rsidP="00417A62">
      <w:pPr>
        <w:spacing w:line="360" w:lineRule="auto"/>
        <w:jc w:val="both"/>
        <w:rPr>
          <w:spacing w:val="-8"/>
          <w:sz w:val="28"/>
        </w:rPr>
      </w:pPr>
    </w:p>
    <w:p w:rsidR="00417A62" w:rsidRDefault="00417A62" w:rsidP="00417A62">
      <w:pPr>
        <w:spacing w:line="360" w:lineRule="auto"/>
        <w:ind w:left="360"/>
        <w:jc w:val="both"/>
        <w:rPr>
          <w:spacing w:val="-8"/>
          <w:sz w:val="28"/>
        </w:rPr>
      </w:pPr>
      <w:r>
        <w:rPr>
          <w:spacing w:val="-8"/>
          <w:sz w:val="28"/>
        </w:rPr>
        <w:t xml:space="preserve"> Фойдаланилган саитлар.</w:t>
      </w:r>
    </w:p>
    <w:p w:rsidR="00417A62" w:rsidRDefault="00417A62" w:rsidP="00417A62">
      <w:pPr>
        <w:pStyle w:val="a8"/>
        <w:numPr>
          <w:ilvl w:val="0"/>
          <w:numId w:val="3"/>
        </w:numPr>
        <w:spacing w:line="360" w:lineRule="auto"/>
        <w:rPr>
          <w:sz w:val="28"/>
        </w:rPr>
      </w:pPr>
      <w:hyperlink r:id="rId10" w:history="1">
        <w:r>
          <w:rPr>
            <w:rStyle w:val="aa"/>
            <w:sz w:val="28"/>
            <w:lang w:val="en-US"/>
          </w:rPr>
          <w:t>www</w:t>
        </w:r>
        <w:r>
          <w:rPr>
            <w:rStyle w:val="aa"/>
            <w:sz w:val="28"/>
          </w:rPr>
          <w:t>.</w:t>
        </w:r>
        <w:r>
          <w:rPr>
            <w:rStyle w:val="aa"/>
            <w:sz w:val="28"/>
            <w:lang w:val="en-US"/>
          </w:rPr>
          <w:t>organizations</w:t>
        </w:r>
        <w:r>
          <w:rPr>
            <w:rStyle w:val="aa"/>
            <w:sz w:val="28"/>
          </w:rPr>
          <w:t>.</w:t>
        </w:r>
        <w:r>
          <w:rPr>
            <w:rStyle w:val="aa"/>
            <w:sz w:val="28"/>
            <w:lang w:val="en-US"/>
          </w:rPr>
          <w:t>ru</w:t>
        </w:r>
      </w:hyperlink>
      <w:r>
        <w:rPr>
          <w:sz w:val="28"/>
        </w:rPr>
        <w:t xml:space="preserve"> </w:t>
      </w:r>
    </w:p>
    <w:p w:rsidR="00417A62" w:rsidRDefault="00417A62" w:rsidP="00417A62">
      <w:pPr>
        <w:pStyle w:val="a8"/>
        <w:numPr>
          <w:ilvl w:val="0"/>
          <w:numId w:val="3"/>
        </w:numPr>
        <w:spacing w:line="360" w:lineRule="auto"/>
        <w:rPr>
          <w:sz w:val="28"/>
        </w:rPr>
      </w:pPr>
      <w:hyperlink r:id="rId11" w:history="1">
        <w:r>
          <w:rPr>
            <w:rStyle w:val="aa"/>
            <w:sz w:val="28"/>
            <w:lang w:val="en-US"/>
          </w:rPr>
          <w:t>www</w:t>
        </w:r>
        <w:r>
          <w:rPr>
            <w:rStyle w:val="aa"/>
            <w:sz w:val="28"/>
          </w:rPr>
          <w:t>.</w:t>
        </w:r>
        <w:r>
          <w:rPr>
            <w:rStyle w:val="aa"/>
            <w:sz w:val="28"/>
            <w:lang w:val="en-US"/>
          </w:rPr>
          <w:t>rangela</w:t>
        </w:r>
        <w:r>
          <w:rPr>
            <w:rStyle w:val="aa"/>
            <w:sz w:val="28"/>
          </w:rPr>
          <w:t>.</w:t>
        </w:r>
        <w:r>
          <w:rPr>
            <w:rStyle w:val="aa"/>
            <w:sz w:val="28"/>
            <w:lang w:val="en-US"/>
          </w:rPr>
          <w:t>narod</w:t>
        </w:r>
        <w:r>
          <w:rPr>
            <w:rStyle w:val="aa"/>
            <w:sz w:val="28"/>
          </w:rPr>
          <w:t>.</w:t>
        </w:r>
        <w:r>
          <w:rPr>
            <w:rStyle w:val="aa"/>
            <w:sz w:val="28"/>
            <w:lang w:val="en-US"/>
          </w:rPr>
          <w:t>ru</w:t>
        </w:r>
      </w:hyperlink>
      <w:r>
        <w:rPr>
          <w:sz w:val="28"/>
        </w:rPr>
        <w:t xml:space="preserve"> </w:t>
      </w:r>
    </w:p>
    <w:p w:rsidR="00417A62" w:rsidRDefault="00417A62" w:rsidP="00417A62">
      <w:pPr>
        <w:pStyle w:val="a8"/>
        <w:numPr>
          <w:ilvl w:val="0"/>
          <w:numId w:val="3"/>
        </w:numPr>
        <w:spacing w:line="360" w:lineRule="auto"/>
        <w:rPr>
          <w:sz w:val="28"/>
        </w:rPr>
      </w:pPr>
      <w:hyperlink r:id="rId12" w:history="1">
        <w:r>
          <w:rPr>
            <w:rStyle w:val="aa"/>
            <w:sz w:val="28"/>
            <w:lang w:val="en-US"/>
          </w:rPr>
          <w:t>www</w:t>
        </w:r>
        <w:r>
          <w:rPr>
            <w:rStyle w:val="aa"/>
            <w:sz w:val="28"/>
          </w:rPr>
          <w:t>.</w:t>
        </w:r>
        <w:r>
          <w:rPr>
            <w:rStyle w:val="aa"/>
            <w:sz w:val="28"/>
            <w:lang w:val="en-US"/>
          </w:rPr>
          <w:t>fem</w:t>
        </w:r>
        <w:r>
          <w:rPr>
            <w:rStyle w:val="aa"/>
            <w:sz w:val="28"/>
          </w:rPr>
          <w:t>.</w:t>
        </w:r>
        <w:r>
          <w:rPr>
            <w:rStyle w:val="aa"/>
            <w:sz w:val="28"/>
            <w:lang w:val="en-US"/>
          </w:rPr>
          <w:t>grsu</w:t>
        </w:r>
        <w:r>
          <w:rPr>
            <w:rStyle w:val="aa"/>
            <w:sz w:val="28"/>
          </w:rPr>
          <w:t>.</w:t>
        </w:r>
        <w:r>
          <w:rPr>
            <w:rStyle w:val="aa"/>
            <w:sz w:val="28"/>
            <w:lang w:val="en-US"/>
          </w:rPr>
          <w:t>by</w:t>
        </w:r>
      </w:hyperlink>
      <w:r>
        <w:rPr>
          <w:sz w:val="28"/>
        </w:rPr>
        <w:t xml:space="preserve"> </w:t>
      </w:r>
    </w:p>
    <w:p w:rsidR="00BC068A" w:rsidRDefault="00417A62" w:rsidP="00417A62">
      <w:hyperlink r:id="rId13" w:history="1">
        <w:r>
          <w:rPr>
            <w:rStyle w:val="aa"/>
            <w:sz w:val="28"/>
            <w:lang w:val="en-US"/>
          </w:rPr>
          <w:t>www</w:t>
        </w:r>
        <w:r>
          <w:rPr>
            <w:rStyle w:val="aa"/>
            <w:sz w:val="28"/>
          </w:rPr>
          <w:t>.</w:t>
        </w:r>
        <w:r>
          <w:rPr>
            <w:rStyle w:val="aa"/>
            <w:sz w:val="28"/>
            <w:lang w:val="en-US"/>
          </w:rPr>
          <w:t>topcatalog</w:t>
        </w:r>
        <w:r>
          <w:rPr>
            <w:rStyle w:val="aa"/>
            <w:sz w:val="28"/>
          </w:rPr>
          <w:t>.</w:t>
        </w:r>
        <w:r>
          <w:rPr>
            <w:rStyle w:val="aa"/>
            <w:sz w:val="28"/>
            <w:lang w:val="en-US"/>
          </w:rPr>
          <w:t>ru</w:t>
        </w:r>
      </w:hyperlink>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3D4" w:rsidRDefault="00E263D4" w:rsidP="00417A62">
      <w:r>
        <w:separator/>
      </w:r>
    </w:p>
  </w:endnote>
  <w:endnote w:type="continuationSeparator" w:id="0">
    <w:p w:rsidR="00E263D4" w:rsidRDefault="00E263D4" w:rsidP="0041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3D4" w:rsidRDefault="00E263D4" w:rsidP="00417A62">
      <w:r>
        <w:separator/>
      </w:r>
    </w:p>
  </w:footnote>
  <w:footnote w:type="continuationSeparator" w:id="0">
    <w:p w:rsidR="00E263D4" w:rsidRDefault="00E263D4" w:rsidP="00417A62">
      <w:r>
        <w:continuationSeparator/>
      </w:r>
    </w:p>
  </w:footnote>
  <w:footnote w:id="1">
    <w:p w:rsidR="00417A62" w:rsidRPr="00213239" w:rsidRDefault="00417A62" w:rsidP="00417A62">
      <w:pPr>
        <w:shd w:val="clear" w:color="auto" w:fill="FFFFFF"/>
        <w:spacing w:before="485" w:line="360" w:lineRule="auto"/>
        <w:ind w:right="230"/>
        <w:jc w:val="both"/>
        <w:rPr>
          <w:sz w:val="16"/>
          <w:szCs w:val="16"/>
        </w:rPr>
      </w:pPr>
      <w:r w:rsidRPr="00213239">
        <w:rPr>
          <w:rStyle w:val="a5"/>
          <w:sz w:val="16"/>
          <w:szCs w:val="16"/>
        </w:rPr>
        <w:footnoteRef/>
      </w:r>
      <w:r w:rsidRPr="00213239">
        <w:rPr>
          <w:color w:val="000000"/>
          <w:sz w:val="16"/>
          <w:szCs w:val="16"/>
        </w:rPr>
        <w:t xml:space="preserve">превосходный обзор литературы по информационной и финансовой структуре, которая подробно останавливается на темах, обсужденных в остальной части этой темы, содержится в Марке Гертлере, " Финансовая Структура и Соединять Экономическую Деятельность: Краткий обзор, </w:t>
      </w:r>
      <w:r w:rsidRPr="00213239">
        <w:rPr>
          <w:i/>
          <w:color w:val="000000"/>
          <w:sz w:val="16"/>
          <w:szCs w:val="16"/>
        </w:rPr>
        <w:t xml:space="preserve"> Журнал Денег, Кредита и Банковского дела</w:t>
      </w:r>
      <w:r w:rsidRPr="00213239">
        <w:rPr>
          <w:color w:val="000000"/>
          <w:sz w:val="16"/>
          <w:szCs w:val="16"/>
        </w:rPr>
        <w:t xml:space="preserve"> 20 (1988): 559 -588</w:t>
      </w:r>
      <w:r w:rsidRPr="00213239">
        <w:rPr>
          <w:rStyle w:val="a5"/>
          <w:color w:val="000000"/>
          <w:sz w:val="16"/>
          <w:szCs w:val="16"/>
        </w:rPr>
        <w:footnoteRef/>
      </w:r>
      <w:r w:rsidRPr="00213239">
        <w:rPr>
          <w:color w:val="000000"/>
          <w:sz w:val="16"/>
          <w:szCs w:val="16"/>
        </w:rPr>
        <w:t>.</w:t>
      </w:r>
    </w:p>
    <w:p w:rsidR="00417A62" w:rsidRDefault="00417A62" w:rsidP="00417A62">
      <w:pPr>
        <w:pStyle w:val="a3"/>
        <w:rPr>
          <w:sz w:val="19"/>
        </w:rPr>
      </w:pPr>
    </w:p>
  </w:footnote>
  <w:footnote w:id="2">
    <w:p w:rsidR="00417A62" w:rsidRDefault="00417A62" w:rsidP="00417A62">
      <w:pPr>
        <w:shd w:val="clear" w:color="auto" w:fill="FFFFFF"/>
        <w:spacing w:before="437" w:line="360" w:lineRule="auto"/>
        <w:ind w:right="216"/>
        <w:jc w:val="both"/>
        <w:rPr>
          <w:sz w:val="19"/>
        </w:rPr>
      </w:pPr>
      <w:r>
        <w:rPr>
          <w:rStyle w:val="a5"/>
          <w:sz w:val="19"/>
        </w:rPr>
        <w:footnoteRef/>
      </w:r>
      <w:r>
        <w:rPr>
          <w:sz w:val="19"/>
        </w:rPr>
        <w:t xml:space="preserve"> </w:t>
      </w:r>
      <w:r>
        <w:rPr>
          <w:color w:val="000000"/>
          <w:sz w:val="19"/>
        </w:rPr>
        <w:t xml:space="preserve">3George Акерлоф, Рынок для 'Лимонов': </w:t>
      </w:r>
      <w:r>
        <w:rPr>
          <w:color w:val="000000"/>
          <w:sz w:val="19"/>
          <w:lang w:val="en-US"/>
        </w:rPr>
        <w:t>QuaJity</w:t>
      </w:r>
      <w:r>
        <w:rPr>
          <w:color w:val="000000"/>
          <w:sz w:val="19"/>
        </w:rPr>
        <w:t xml:space="preserve">, Неуверенность и Рыночный Механизм, " </w:t>
      </w:r>
      <w:r>
        <w:rPr>
          <w:i/>
          <w:color w:val="000000"/>
          <w:sz w:val="19"/>
        </w:rPr>
        <w:t>Ежеквартальный Журнал Экономики 84</w:t>
      </w:r>
      <w:r>
        <w:rPr>
          <w:color w:val="000000"/>
          <w:sz w:val="19"/>
        </w:rPr>
        <w:t xml:space="preserve"> (1970): 488-500. Две важных бумаги(газет), которые применили анализ проблемы лимонов на финансовые рынки - </w:t>
      </w:r>
      <w:r>
        <w:rPr>
          <w:color w:val="000000"/>
          <w:sz w:val="19"/>
          <w:lang w:val="en-US"/>
        </w:rPr>
        <w:t>Stewart</w:t>
      </w:r>
      <w:r>
        <w:rPr>
          <w:color w:val="000000"/>
          <w:sz w:val="19"/>
        </w:rPr>
        <w:t xml:space="preserve"> </w:t>
      </w:r>
      <w:r>
        <w:rPr>
          <w:color w:val="000000"/>
          <w:sz w:val="19"/>
          <w:lang w:val="en-US"/>
        </w:rPr>
        <w:t>Myers</w:t>
      </w:r>
      <w:r>
        <w:rPr>
          <w:color w:val="000000"/>
          <w:sz w:val="19"/>
        </w:rPr>
        <w:t xml:space="preserve"> и N. S. </w:t>
      </w:r>
      <w:r>
        <w:rPr>
          <w:color w:val="000000"/>
          <w:sz w:val="19"/>
          <w:lang w:val="en-US"/>
        </w:rPr>
        <w:t>Majluf</w:t>
      </w:r>
      <w:r>
        <w:rPr>
          <w:color w:val="000000"/>
          <w:sz w:val="19"/>
        </w:rPr>
        <w:t xml:space="preserve">, " Общее Финансирование и Инвестиционные Решения, когда Фирмы Сделают так Информация, что Инвесторы Не, имеют, " </w:t>
      </w:r>
      <w:r>
        <w:rPr>
          <w:i/>
          <w:color w:val="000000"/>
          <w:sz w:val="19"/>
        </w:rPr>
        <w:t>Журнал Финансовой Экономики</w:t>
      </w:r>
      <w:r>
        <w:rPr>
          <w:color w:val="000000"/>
          <w:sz w:val="19"/>
        </w:rPr>
        <w:t xml:space="preserve"> 13 (1984): 187-221, и Брюс Гринвалд, Джозеф Е. Стиглиц, и </w:t>
      </w:r>
      <w:r>
        <w:rPr>
          <w:color w:val="000000"/>
          <w:sz w:val="19"/>
          <w:lang w:val="en-US"/>
        </w:rPr>
        <w:t>Weiss</w:t>
      </w:r>
      <w:r>
        <w:rPr>
          <w:color w:val="000000"/>
          <w:sz w:val="19"/>
        </w:rPr>
        <w:t xml:space="preserve"> Эндрю, " Информационные Дефициты в Капитале(столице) Рыночные и Макроэкономические Колебания, " </w:t>
      </w:r>
      <w:r>
        <w:rPr>
          <w:i/>
          <w:color w:val="000000"/>
          <w:sz w:val="19"/>
        </w:rPr>
        <w:t>Американский Экономический Обзор</w:t>
      </w:r>
      <w:r>
        <w:rPr>
          <w:color w:val="000000"/>
          <w:sz w:val="19"/>
        </w:rPr>
        <w:t xml:space="preserve"> 74 (1984): 194-199.</w:t>
      </w:r>
    </w:p>
    <w:p w:rsidR="00417A62" w:rsidRDefault="00417A62" w:rsidP="00417A62">
      <w:pPr>
        <w:pStyle w:val="a3"/>
        <w:rPr>
          <w:sz w:val="19"/>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43AD"/>
    <w:multiLevelType w:val="singleLevel"/>
    <w:tmpl w:val="0419000F"/>
    <w:lvl w:ilvl="0">
      <w:start w:val="1"/>
      <w:numFmt w:val="decimal"/>
      <w:lvlText w:val="%1."/>
      <w:lvlJc w:val="left"/>
      <w:pPr>
        <w:tabs>
          <w:tab w:val="num" w:pos="360"/>
        </w:tabs>
        <w:ind w:left="360" w:hanging="360"/>
      </w:pPr>
    </w:lvl>
  </w:abstractNum>
  <w:abstractNum w:abstractNumId="1">
    <w:nsid w:val="215D336C"/>
    <w:multiLevelType w:val="multilevel"/>
    <w:tmpl w:val="C60C6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9E14A9"/>
    <w:multiLevelType w:val="singleLevel"/>
    <w:tmpl w:val="0419000F"/>
    <w:lvl w:ilvl="0">
      <w:start w:val="1"/>
      <w:numFmt w:val="decimal"/>
      <w:lvlText w:val="%1."/>
      <w:lvlJc w:val="left"/>
      <w:pPr>
        <w:tabs>
          <w:tab w:val="num" w:pos="360"/>
        </w:tabs>
        <w:ind w:left="360" w:hanging="360"/>
      </w:pPr>
    </w:lvl>
  </w:abstractNum>
  <w:abstractNum w:abstractNumId="3">
    <w:nsid w:val="788146AE"/>
    <w:multiLevelType w:val="multilevel"/>
    <w:tmpl w:val="C60C63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A62"/>
    <w:rsid w:val="00417A62"/>
    <w:rsid w:val="00BC068A"/>
    <w:rsid w:val="00E263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62"/>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417A62"/>
    <w:pPr>
      <w:keepNext/>
      <w:spacing w:line="360" w:lineRule="auto"/>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17A62"/>
    <w:rPr>
      <w:rFonts w:ascii="Times New Roman" w:eastAsia="Times New Roman" w:hAnsi="Times New Roman" w:cs="Times New Roman"/>
      <w:b/>
      <w:sz w:val="24"/>
      <w:szCs w:val="20"/>
      <w:lang w:val="ru-RU" w:eastAsia="ru-RU"/>
    </w:rPr>
  </w:style>
  <w:style w:type="paragraph" w:styleId="a3">
    <w:name w:val="footnote text"/>
    <w:basedOn w:val="a"/>
    <w:link w:val="a4"/>
    <w:semiHidden/>
    <w:rsid w:val="00417A62"/>
    <w:pPr>
      <w:widowControl w:val="0"/>
      <w:autoSpaceDE w:val="0"/>
      <w:autoSpaceDN w:val="0"/>
      <w:adjustRightInd w:val="0"/>
    </w:pPr>
  </w:style>
  <w:style w:type="character" w:customStyle="1" w:styleId="a4">
    <w:name w:val="Текст сноски Знак"/>
    <w:basedOn w:val="a0"/>
    <w:link w:val="a3"/>
    <w:semiHidden/>
    <w:rsid w:val="00417A62"/>
    <w:rPr>
      <w:rFonts w:ascii="Times New Roman" w:eastAsia="Times New Roman" w:hAnsi="Times New Roman" w:cs="Times New Roman"/>
      <w:sz w:val="20"/>
      <w:szCs w:val="20"/>
      <w:lang w:val="ru-RU" w:eastAsia="ru-RU"/>
    </w:rPr>
  </w:style>
  <w:style w:type="character" w:styleId="a5">
    <w:name w:val="footnote reference"/>
    <w:basedOn w:val="a0"/>
    <w:semiHidden/>
    <w:rsid w:val="00417A62"/>
    <w:rPr>
      <w:vertAlign w:val="superscript"/>
    </w:rPr>
  </w:style>
  <w:style w:type="paragraph" w:styleId="21">
    <w:name w:val="Body Text 2"/>
    <w:basedOn w:val="a"/>
    <w:link w:val="22"/>
    <w:rsid w:val="00417A62"/>
    <w:pPr>
      <w:spacing w:line="360" w:lineRule="auto"/>
      <w:jc w:val="both"/>
    </w:pPr>
    <w:rPr>
      <w:sz w:val="24"/>
    </w:rPr>
  </w:style>
  <w:style w:type="character" w:customStyle="1" w:styleId="22">
    <w:name w:val="Основной текст 2 Знак"/>
    <w:basedOn w:val="a0"/>
    <w:link w:val="21"/>
    <w:rsid w:val="00417A62"/>
    <w:rPr>
      <w:rFonts w:ascii="Times New Roman" w:eastAsia="Times New Roman" w:hAnsi="Times New Roman" w:cs="Times New Roman"/>
      <w:sz w:val="24"/>
      <w:szCs w:val="20"/>
      <w:lang w:val="ru-RU" w:eastAsia="ru-RU"/>
    </w:rPr>
  </w:style>
  <w:style w:type="paragraph" w:styleId="3">
    <w:name w:val="Body Text 3"/>
    <w:basedOn w:val="a"/>
    <w:link w:val="30"/>
    <w:rsid w:val="00417A62"/>
    <w:pPr>
      <w:spacing w:line="360" w:lineRule="auto"/>
      <w:jc w:val="center"/>
    </w:pPr>
    <w:rPr>
      <w:b/>
      <w:sz w:val="24"/>
    </w:rPr>
  </w:style>
  <w:style w:type="character" w:customStyle="1" w:styleId="30">
    <w:name w:val="Основной текст 3 Знак"/>
    <w:basedOn w:val="a0"/>
    <w:link w:val="3"/>
    <w:rsid w:val="00417A62"/>
    <w:rPr>
      <w:rFonts w:ascii="Times New Roman" w:eastAsia="Times New Roman" w:hAnsi="Times New Roman" w:cs="Times New Roman"/>
      <w:b/>
      <w:sz w:val="24"/>
      <w:szCs w:val="20"/>
      <w:lang w:val="ru-RU" w:eastAsia="ru-RU"/>
    </w:rPr>
  </w:style>
  <w:style w:type="paragraph" w:styleId="a6">
    <w:name w:val="Title"/>
    <w:basedOn w:val="a"/>
    <w:link w:val="a7"/>
    <w:qFormat/>
    <w:rsid w:val="00417A62"/>
    <w:pPr>
      <w:spacing w:line="360" w:lineRule="auto"/>
      <w:jc w:val="center"/>
    </w:pPr>
    <w:rPr>
      <w:b/>
      <w:sz w:val="24"/>
    </w:rPr>
  </w:style>
  <w:style w:type="character" w:customStyle="1" w:styleId="a7">
    <w:name w:val="Название Знак"/>
    <w:basedOn w:val="a0"/>
    <w:link w:val="a6"/>
    <w:rsid w:val="00417A62"/>
    <w:rPr>
      <w:rFonts w:ascii="Times New Roman" w:eastAsia="Times New Roman" w:hAnsi="Times New Roman" w:cs="Times New Roman"/>
      <w:b/>
      <w:sz w:val="24"/>
      <w:szCs w:val="20"/>
      <w:lang w:val="ru-RU" w:eastAsia="ru-RU"/>
    </w:rPr>
  </w:style>
  <w:style w:type="paragraph" w:styleId="23">
    <w:name w:val="Body Text Indent 2"/>
    <w:basedOn w:val="a"/>
    <w:link w:val="24"/>
    <w:rsid w:val="00417A62"/>
    <w:pPr>
      <w:spacing w:line="360" w:lineRule="auto"/>
      <w:ind w:firstLine="708"/>
      <w:jc w:val="both"/>
    </w:pPr>
    <w:rPr>
      <w:sz w:val="23"/>
    </w:rPr>
  </w:style>
  <w:style w:type="character" w:customStyle="1" w:styleId="24">
    <w:name w:val="Основной текст с отступом 2 Знак"/>
    <w:basedOn w:val="a0"/>
    <w:link w:val="23"/>
    <w:rsid w:val="00417A62"/>
    <w:rPr>
      <w:rFonts w:ascii="Times New Roman" w:eastAsia="Times New Roman" w:hAnsi="Times New Roman" w:cs="Times New Roman"/>
      <w:sz w:val="23"/>
      <w:szCs w:val="20"/>
      <w:lang w:val="ru-RU" w:eastAsia="ru-RU"/>
    </w:rPr>
  </w:style>
  <w:style w:type="paragraph" w:styleId="a8">
    <w:name w:val="Body Text"/>
    <w:basedOn w:val="a"/>
    <w:link w:val="a9"/>
    <w:rsid w:val="00417A62"/>
    <w:pPr>
      <w:jc w:val="both"/>
    </w:pPr>
    <w:rPr>
      <w:color w:val="000000"/>
      <w:sz w:val="24"/>
    </w:rPr>
  </w:style>
  <w:style w:type="character" w:customStyle="1" w:styleId="a9">
    <w:name w:val="Основной текст Знак"/>
    <w:basedOn w:val="a0"/>
    <w:link w:val="a8"/>
    <w:rsid w:val="00417A62"/>
    <w:rPr>
      <w:rFonts w:ascii="Times New Roman" w:eastAsia="Times New Roman" w:hAnsi="Times New Roman" w:cs="Times New Roman"/>
      <w:color w:val="000000"/>
      <w:sz w:val="24"/>
      <w:szCs w:val="20"/>
      <w:lang w:val="ru-RU" w:eastAsia="ru-RU"/>
    </w:rPr>
  </w:style>
  <w:style w:type="character" w:styleId="aa">
    <w:name w:val="Hyperlink"/>
    <w:basedOn w:val="a0"/>
    <w:rsid w:val="00417A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A62"/>
    <w:pPr>
      <w:spacing w:after="0" w:line="240" w:lineRule="auto"/>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417A62"/>
    <w:pPr>
      <w:keepNext/>
      <w:spacing w:line="360" w:lineRule="auto"/>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17A62"/>
    <w:rPr>
      <w:rFonts w:ascii="Times New Roman" w:eastAsia="Times New Roman" w:hAnsi="Times New Roman" w:cs="Times New Roman"/>
      <w:b/>
      <w:sz w:val="24"/>
      <w:szCs w:val="20"/>
      <w:lang w:val="ru-RU" w:eastAsia="ru-RU"/>
    </w:rPr>
  </w:style>
  <w:style w:type="paragraph" w:styleId="a3">
    <w:name w:val="footnote text"/>
    <w:basedOn w:val="a"/>
    <w:link w:val="a4"/>
    <w:semiHidden/>
    <w:rsid w:val="00417A62"/>
    <w:pPr>
      <w:widowControl w:val="0"/>
      <w:autoSpaceDE w:val="0"/>
      <w:autoSpaceDN w:val="0"/>
      <w:adjustRightInd w:val="0"/>
    </w:pPr>
  </w:style>
  <w:style w:type="character" w:customStyle="1" w:styleId="a4">
    <w:name w:val="Текст сноски Знак"/>
    <w:basedOn w:val="a0"/>
    <w:link w:val="a3"/>
    <w:semiHidden/>
    <w:rsid w:val="00417A62"/>
    <w:rPr>
      <w:rFonts w:ascii="Times New Roman" w:eastAsia="Times New Roman" w:hAnsi="Times New Roman" w:cs="Times New Roman"/>
      <w:sz w:val="20"/>
      <w:szCs w:val="20"/>
      <w:lang w:val="ru-RU" w:eastAsia="ru-RU"/>
    </w:rPr>
  </w:style>
  <w:style w:type="character" w:styleId="a5">
    <w:name w:val="footnote reference"/>
    <w:basedOn w:val="a0"/>
    <w:semiHidden/>
    <w:rsid w:val="00417A62"/>
    <w:rPr>
      <w:vertAlign w:val="superscript"/>
    </w:rPr>
  </w:style>
  <w:style w:type="paragraph" w:styleId="21">
    <w:name w:val="Body Text 2"/>
    <w:basedOn w:val="a"/>
    <w:link w:val="22"/>
    <w:rsid w:val="00417A62"/>
    <w:pPr>
      <w:spacing w:line="360" w:lineRule="auto"/>
      <w:jc w:val="both"/>
    </w:pPr>
    <w:rPr>
      <w:sz w:val="24"/>
    </w:rPr>
  </w:style>
  <w:style w:type="character" w:customStyle="1" w:styleId="22">
    <w:name w:val="Основной текст 2 Знак"/>
    <w:basedOn w:val="a0"/>
    <w:link w:val="21"/>
    <w:rsid w:val="00417A62"/>
    <w:rPr>
      <w:rFonts w:ascii="Times New Roman" w:eastAsia="Times New Roman" w:hAnsi="Times New Roman" w:cs="Times New Roman"/>
      <w:sz w:val="24"/>
      <w:szCs w:val="20"/>
      <w:lang w:val="ru-RU" w:eastAsia="ru-RU"/>
    </w:rPr>
  </w:style>
  <w:style w:type="paragraph" w:styleId="3">
    <w:name w:val="Body Text 3"/>
    <w:basedOn w:val="a"/>
    <w:link w:val="30"/>
    <w:rsid w:val="00417A62"/>
    <w:pPr>
      <w:spacing w:line="360" w:lineRule="auto"/>
      <w:jc w:val="center"/>
    </w:pPr>
    <w:rPr>
      <w:b/>
      <w:sz w:val="24"/>
    </w:rPr>
  </w:style>
  <w:style w:type="character" w:customStyle="1" w:styleId="30">
    <w:name w:val="Основной текст 3 Знак"/>
    <w:basedOn w:val="a0"/>
    <w:link w:val="3"/>
    <w:rsid w:val="00417A62"/>
    <w:rPr>
      <w:rFonts w:ascii="Times New Roman" w:eastAsia="Times New Roman" w:hAnsi="Times New Roman" w:cs="Times New Roman"/>
      <w:b/>
      <w:sz w:val="24"/>
      <w:szCs w:val="20"/>
      <w:lang w:val="ru-RU" w:eastAsia="ru-RU"/>
    </w:rPr>
  </w:style>
  <w:style w:type="paragraph" w:styleId="a6">
    <w:name w:val="Title"/>
    <w:basedOn w:val="a"/>
    <w:link w:val="a7"/>
    <w:qFormat/>
    <w:rsid w:val="00417A62"/>
    <w:pPr>
      <w:spacing w:line="360" w:lineRule="auto"/>
      <w:jc w:val="center"/>
    </w:pPr>
    <w:rPr>
      <w:b/>
      <w:sz w:val="24"/>
    </w:rPr>
  </w:style>
  <w:style w:type="character" w:customStyle="1" w:styleId="a7">
    <w:name w:val="Название Знак"/>
    <w:basedOn w:val="a0"/>
    <w:link w:val="a6"/>
    <w:rsid w:val="00417A62"/>
    <w:rPr>
      <w:rFonts w:ascii="Times New Roman" w:eastAsia="Times New Roman" w:hAnsi="Times New Roman" w:cs="Times New Roman"/>
      <w:b/>
      <w:sz w:val="24"/>
      <w:szCs w:val="20"/>
      <w:lang w:val="ru-RU" w:eastAsia="ru-RU"/>
    </w:rPr>
  </w:style>
  <w:style w:type="paragraph" w:styleId="23">
    <w:name w:val="Body Text Indent 2"/>
    <w:basedOn w:val="a"/>
    <w:link w:val="24"/>
    <w:rsid w:val="00417A62"/>
    <w:pPr>
      <w:spacing w:line="360" w:lineRule="auto"/>
      <w:ind w:firstLine="708"/>
      <w:jc w:val="both"/>
    </w:pPr>
    <w:rPr>
      <w:sz w:val="23"/>
    </w:rPr>
  </w:style>
  <w:style w:type="character" w:customStyle="1" w:styleId="24">
    <w:name w:val="Основной текст с отступом 2 Знак"/>
    <w:basedOn w:val="a0"/>
    <w:link w:val="23"/>
    <w:rsid w:val="00417A62"/>
    <w:rPr>
      <w:rFonts w:ascii="Times New Roman" w:eastAsia="Times New Roman" w:hAnsi="Times New Roman" w:cs="Times New Roman"/>
      <w:sz w:val="23"/>
      <w:szCs w:val="20"/>
      <w:lang w:val="ru-RU" w:eastAsia="ru-RU"/>
    </w:rPr>
  </w:style>
  <w:style w:type="paragraph" w:styleId="a8">
    <w:name w:val="Body Text"/>
    <w:basedOn w:val="a"/>
    <w:link w:val="a9"/>
    <w:rsid w:val="00417A62"/>
    <w:pPr>
      <w:jc w:val="both"/>
    </w:pPr>
    <w:rPr>
      <w:color w:val="000000"/>
      <w:sz w:val="24"/>
    </w:rPr>
  </w:style>
  <w:style w:type="character" w:customStyle="1" w:styleId="a9">
    <w:name w:val="Основной текст Знак"/>
    <w:basedOn w:val="a0"/>
    <w:link w:val="a8"/>
    <w:rsid w:val="00417A62"/>
    <w:rPr>
      <w:rFonts w:ascii="Times New Roman" w:eastAsia="Times New Roman" w:hAnsi="Times New Roman" w:cs="Times New Roman"/>
      <w:color w:val="000000"/>
      <w:sz w:val="24"/>
      <w:szCs w:val="20"/>
      <w:lang w:val="ru-RU" w:eastAsia="ru-RU"/>
    </w:rPr>
  </w:style>
  <w:style w:type="character" w:styleId="aa">
    <w:name w:val="Hyperlink"/>
    <w:basedOn w:val="a0"/>
    <w:rsid w:val="00417A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topcatalog.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em.grsu.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angela.narod.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rganizations.ru"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729096989966554"/>
          <c:y val="0.16537467700258399"/>
          <c:w val="0.43645484949832775"/>
          <c:h val="0.67441860465116277"/>
        </c:manualLayout>
      </c:layout>
      <c:pieChart>
        <c:varyColors val="1"/>
        <c:ser>
          <c:idx val="0"/>
          <c:order val="0"/>
          <c:tx>
            <c:strRef>
              <c:f>Лист1!$B$1</c:f>
              <c:strCache>
                <c:ptCount val="1"/>
                <c:pt idx="0">
                  <c:v>США</c:v>
                </c:pt>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dPt>
            <c:idx val="2"/>
            <c:bubble3D val="0"/>
            <c:spPr>
              <a:solidFill>
                <a:srgbClr val="FFFFCC"/>
              </a:solidFill>
              <a:ln w="12700">
                <a:solidFill>
                  <a:srgbClr val="000000"/>
                </a:solidFill>
                <a:prstDash val="solid"/>
              </a:ln>
            </c:spPr>
          </c:dPt>
          <c:dPt>
            <c:idx val="3"/>
            <c:bubble3D val="0"/>
            <c:spPr>
              <a:solidFill>
                <a:srgbClr val="CCFFFF"/>
              </a:solidFill>
              <a:ln w="12700">
                <a:solidFill>
                  <a:srgbClr val="000000"/>
                </a:solidFill>
                <a:prstDash val="solid"/>
              </a:ln>
            </c:spPr>
          </c:dPt>
          <c:dLbls>
            <c:spPr>
              <a:noFill/>
              <a:ln w="25399">
                <a:noFill/>
              </a:ln>
            </c:spPr>
            <c:txPr>
              <a:bodyPr/>
              <a:lstStyle/>
              <a:p>
                <a:pPr>
                  <a:defRPr sz="1075" b="0" i="0" u="none" strike="noStrike" baseline="0">
                    <a:solidFill>
                      <a:srgbClr val="000000"/>
                    </a:solidFill>
                    <a:latin typeface="Times New Roman"/>
                    <a:ea typeface="Times New Roman"/>
                    <a:cs typeface="Times New Roman"/>
                  </a:defRPr>
                </a:pPr>
                <a:endParaRPr lang="en-US"/>
              </a:p>
            </c:txPr>
            <c:showLegendKey val="0"/>
            <c:showVal val="1"/>
            <c:showCatName val="0"/>
            <c:showSerName val="0"/>
            <c:showPercent val="0"/>
            <c:showBubbleSize val="0"/>
            <c:showLeaderLines val="1"/>
          </c:dLbls>
          <c:cat>
            <c:strRef>
              <c:f>Лист1!$A$2:$A$5</c:f>
              <c:strCache>
                <c:ptCount val="4"/>
                <c:pt idx="0">
                  <c:v>Ссуда</c:v>
                </c:pt>
                <c:pt idx="1">
                  <c:v>Обязательства</c:v>
                </c:pt>
                <c:pt idx="2">
                  <c:v>Акции</c:v>
                </c:pt>
                <c:pt idx="3">
                  <c:v>Другие</c:v>
                </c:pt>
              </c:strCache>
            </c:strRef>
          </c:cat>
          <c:val>
            <c:numRef>
              <c:f>Лист1!$B$2:$B$5</c:f>
              <c:numCache>
                <c:formatCode>0.00%</c:formatCode>
                <c:ptCount val="4"/>
                <c:pt idx="0">
                  <c:v>0.61899999999999999</c:v>
                </c:pt>
                <c:pt idx="1">
                  <c:v>0.29799999999999999</c:v>
                </c:pt>
                <c:pt idx="2">
                  <c:v>2.1000000000000001E-2</c:v>
                </c:pt>
                <c:pt idx="3">
                  <c:v>6.2E-2</c:v>
                </c:pt>
              </c:numCache>
            </c:numRef>
          </c:val>
        </c:ser>
        <c:dLbls>
          <c:showLegendKey val="0"/>
          <c:showVal val="1"/>
          <c:showCatName val="0"/>
          <c:showSerName val="0"/>
          <c:showPercent val="0"/>
          <c:showBubbleSize val="0"/>
          <c:showLeaderLines val="1"/>
        </c:dLbls>
        <c:firstSliceAng val="0"/>
      </c:pieChart>
      <c:spPr>
        <a:noFill/>
        <a:ln w="25399">
          <a:noFill/>
        </a:ln>
      </c:spPr>
    </c:plotArea>
    <c:legend>
      <c:legendPos val="r"/>
      <c:layout>
        <c:manualLayout>
          <c:xMode val="edge"/>
          <c:yMode val="edge"/>
          <c:x val="0.81103678929765888"/>
          <c:y val="0.39018087855297157"/>
          <c:w val="0.18227424749163879"/>
          <c:h val="0.21963824289405684"/>
        </c:manualLayout>
      </c:layout>
      <c:overlay val="0"/>
      <c:spPr>
        <a:solidFill>
          <a:srgbClr val="FFFFFF"/>
        </a:solidFill>
        <a:ln w="3175">
          <a:solidFill>
            <a:srgbClr val="000000"/>
          </a:solidFill>
          <a:prstDash val="solid"/>
        </a:ln>
      </c:spPr>
      <c:txPr>
        <a:bodyPr/>
        <a:lstStyle/>
        <a:p>
          <a:pPr>
            <a:defRPr sz="870" b="0" i="0" u="none" strike="noStrike" baseline="0">
              <a:solidFill>
                <a:srgbClr val="000000"/>
              </a:solidFill>
              <a:latin typeface="Arial Cyr"/>
              <a:ea typeface="Arial Cyr"/>
              <a:cs typeface="Arial Cyr"/>
            </a:defRPr>
          </a:pPr>
          <a:endParaRPr lang="en-US"/>
        </a:p>
      </c:txPr>
    </c:legend>
    <c:plotVisOnly val="1"/>
    <c:dispBlanksAs val="zero"/>
    <c:showDLblsOverMax val="0"/>
  </c:chart>
  <c:spPr>
    <a:solidFill>
      <a:srgbClr val="FFFFFF"/>
    </a:solidFill>
    <a:ln w="3175">
      <a:solidFill>
        <a:srgbClr val="000000"/>
      </a:solidFill>
      <a:prstDash val="solid"/>
    </a:ln>
  </c:spPr>
  <c:txPr>
    <a:bodyPr/>
    <a:lstStyle/>
    <a:p>
      <a:pPr>
        <a:defRPr sz="950" b="0" i="0" u="none" strike="noStrike" baseline="0">
          <a:solidFill>
            <a:srgbClr val="000000"/>
          </a:solidFill>
          <a:latin typeface="Arial Cyr"/>
          <a:ea typeface="Arial Cyr"/>
          <a:cs typeface="Arial Cy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hPercent val="5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8.1469648562300323E-2"/>
          <c:y val="6.0070671378091869E-2"/>
          <c:w val="0.694888178913738"/>
          <c:h val="0.79505300353356889"/>
        </c:manualLayout>
      </c:layout>
      <c:bar3DChart>
        <c:barDir val="col"/>
        <c:grouping val="clustered"/>
        <c:varyColors val="0"/>
        <c:ser>
          <c:idx val="0"/>
          <c:order val="0"/>
          <c:tx>
            <c:strRef>
              <c:f>Лист1!$B$1</c:f>
              <c:strCache>
                <c:ptCount val="1"/>
                <c:pt idx="0">
                  <c:v>США</c:v>
                </c:pt>
              </c:strCache>
            </c:strRef>
          </c:tx>
          <c:spPr>
            <a:solidFill>
              <a:srgbClr val="9999FF"/>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Лист1!$B$2:$B$5</c:f>
              <c:numCache>
                <c:formatCode>General</c:formatCode>
                <c:ptCount val="4"/>
                <c:pt idx="0">
                  <c:v>61</c:v>
                </c:pt>
                <c:pt idx="1">
                  <c:v>30</c:v>
                </c:pt>
                <c:pt idx="2">
                  <c:v>2</c:v>
                </c:pt>
                <c:pt idx="3">
                  <c:v>6</c:v>
                </c:pt>
              </c:numCache>
            </c:numRef>
          </c:val>
        </c:ser>
        <c:ser>
          <c:idx val="1"/>
          <c:order val="1"/>
          <c:tx>
            <c:strRef>
              <c:f>Лист1!$C$1</c:f>
              <c:strCache>
                <c:ptCount val="1"/>
                <c:pt idx="0">
                  <c:v>Великобритания</c:v>
                </c:pt>
              </c:strCache>
            </c:strRef>
          </c:tx>
          <c:spPr>
            <a:solidFill>
              <a:srgbClr val="993366"/>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Лист1!$C$2:$C$5</c:f>
              <c:numCache>
                <c:formatCode>General</c:formatCode>
                <c:ptCount val="4"/>
                <c:pt idx="0">
                  <c:v>63</c:v>
                </c:pt>
                <c:pt idx="1">
                  <c:v>8</c:v>
                </c:pt>
                <c:pt idx="2">
                  <c:v>10</c:v>
                </c:pt>
                <c:pt idx="3">
                  <c:v>15</c:v>
                </c:pt>
              </c:numCache>
            </c:numRef>
          </c:val>
        </c:ser>
        <c:ser>
          <c:idx val="2"/>
          <c:order val="2"/>
          <c:tx>
            <c:strRef>
              <c:f>Лист1!$D$1</c:f>
              <c:strCache>
                <c:ptCount val="1"/>
                <c:pt idx="0">
                  <c:v>Франция</c:v>
                </c:pt>
              </c:strCache>
            </c:strRef>
          </c:tx>
          <c:spPr>
            <a:solidFill>
              <a:srgbClr val="FFFFCC"/>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Лист1!$D$2:$D$5</c:f>
              <c:numCache>
                <c:formatCode>General</c:formatCode>
                <c:ptCount val="4"/>
                <c:pt idx="0">
                  <c:v>70</c:v>
                </c:pt>
                <c:pt idx="1">
                  <c:v>5</c:v>
                </c:pt>
                <c:pt idx="2">
                  <c:v>20</c:v>
                </c:pt>
                <c:pt idx="3">
                  <c:v>9</c:v>
                </c:pt>
              </c:numCache>
            </c:numRef>
          </c:val>
        </c:ser>
        <c:ser>
          <c:idx val="3"/>
          <c:order val="3"/>
          <c:tx>
            <c:strRef>
              <c:f>Лист1!$E$1</c:f>
              <c:strCache>
                <c:ptCount val="1"/>
                <c:pt idx="0">
                  <c:v>Германия</c:v>
                </c:pt>
              </c:strCache>
            </c:strRef>
          </c:tx>
          <c:spPr>
            <a:solidFill>
              <a:srgbClr val="CCFFFF"/>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Лист1!$E$2:$E$5</c:f>
              <c:numCache>
                <c:formatCode>General</c:formatCode>
                <c:ptCount val="4"/>
                <c:pt idx="0">
                  <c:v>55</c:v>
                </c:pt>
                <c:pt idx="1">
                  <c:v>2</c:v>
                </c:pt>
                <c:pt idx="2">
                  <c:v>5</c:v>
                </c:pt>
                <c:pt idx="3">
                  <c:v>38</c:v>
                </c:pt>
              </c:numCache>
            </c:numRef>
          </c:val>
        </c:ser>
        <c:ser>
          <c:idx val="4"/>
          <c:order val="4"/>
          <c:tx>
            <c:strRef>
              <c:f>Лист1!$F$1</c:f>
              <c:strCache>
                <c:ptCount val="1"/>
                <c:pt idx="0">
                  <c:v>Япония</c:v>
                </c:pt>
              </c:strCache>
            </c:strRef>
          </c:tx>
          <c:spPr>
            <a:solidFill>
              <a:srgbClr val="660066"/>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Лист1!$F$2:$F$5</c:f>
              <c:numCache>
                <c:formatCode>General</c:formatCode>
                <c:ptCount val="4"/>
                <c:pt idx="0">
                  <c:v>58</c:v>
                </c:pt>
                <c:pt idx="1">
                  <c:v>3</c:v>
                </c:pt>
                <c:pt idx="2">
                  <c:v>5</c:v>
                </c:pt>
                <c:pt idx="3">
                  <c:v>28</c:v>
                </c:pt>
              </c:numCache>
            </c:numRef>
          </c:val>
        </c:ser>
        <c:ser>
          <c:idx val="5"/>
          <c:order val="5"/>
          <c:tx>
            <c:strRef>
              <c:f>Лист1!$G$1</c:f>
              <c:strCache>
                <c:ptCount val="1"/>
                <c:pt idx="0">
                  <c:v>Канада</c:v>
                </c:pt>
              </c:strCache>
            </c:strRef>
          </c:tx>
          <c:spPr>
            <a:solidFill>
              <a:srgbClr val="FF8080"/>
            </a:solidFill>
            <a:ln w="12700">
              <a:solidFill>
                <a:srgbClr val="000000"/>
              </a:solidFill>
              <a:prstDash val="solid"/>
            </a:ln>
          </c:spPr>
          <c:invertIfNegative val="0"/>
          <c:cat>
            <c:strRef>
              <c:f>Лист1!$A$2:$A$5</c:f>
              <c:strCache>
                <c:ptCount val="4"/>
                <c:pt idx="0">
                  <c:v>Ссуда</c:v>
                </c:pt>
                <c:pt idx="1">
                  <c:v>Обязательства</c:v>
                </c:pt>
                <c:pt idx="2">
                  <c:v>Акции</c:v>
                </c:pt>
                <c:pt idx="3">
                  <c:v>Другие</c:v>
                </c:pt>
              </c:strCache>
            </c:strRef>
          </c:cat>
          <c:val>
            <c:numRef>
              <c:f>Лист1!$G$2:$G$5</c:f>
              <c:numCache>
                <c:formatCode>General</c:formatCode>
                <c:ptCount val="4"/>
                <c:pt idx="0">
                  <c:v>29</c:v>
                </c:pt>
                <c:pt idx="1">
                  <c:v>18</c:v>
                </c:pt>
                <c:pt idx="2">
                  <c:v>28</c:v>
                </c:pt>
                <c:pt idx="3">
                  <c:v>30</c:v>
                </c:pt>
              </c:numCache>
            </c:numRef>
          </c:val>
        </c:ser>
        <c:dLbls>
          <c:showLegendKey val="0"/>
          <c:showVal val="0"/>
          <c:showCatName val="0"/>
          <c:showSerName val="0"/>
          <c:showPercent val="0"/>
          <c:showBubbleSize val="0"/>
        </c:dLbls>
        <c:gapWidth val="150"/>
        <c:shape val="box"/>
        <c:axId val="154320896"/>
        <c:axId val="154322432"/>
        <c:axId val="0"/>
      </c:bar3DChart>
      <c:catAx>
        <c:axId val="1543208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125" b="0" i="0" u="none" strike="noStrike" baseline="0">
                <a:solidFill>
                  <a:srgbClr val="000000"/>
                </a:solidFill>
                <a:latin typeface="Times New Roman"/>
                <a:ea typeface="Times New Roman"/>
                <a:cs typeface="Times New Roman"/>
              </a:defRPr>
            </a:pPr>
            <a:endParaRPr lang="en-US"/>
          </a:p>
        </c:txPr>
        <c:crossAx val="154322432"/>
        <c:crosses val="autoZero"/>
        <c:auto val="1"/>
        <c:lblAlgn val="ctr"/>
        <c:lblOffset val="100"/>
        <c:tickLblSkip val="2"/>
        <c:tickMarkSkip val="1"/>
        <c:noMultiLvlLbl val="0"/>
      </c:catAx>
      <c:valAx>
        <c:axId val="154322432"/>
        <c:scaling>
          <c:orientation val="minMax"/>
          <c:max val="100"/>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525" b="0" i="0" u="none" strike="noStrike" baseline="0">
                <a:solidFill>
                  <a:srgbClr val="000000"/>
                </a:solidFill>
                <a:latin typeface="Arial Cyr"/>
                <a:ea typeface="Arial Cyr"/>
                <a:cs typeface="Arial Cyr"/>
              </a:defRPr>
            </a:pPr>
            <a:endParaRPr lang="en-US"/>
          </a:p>
        </c:txPr>
        <c:crossAx val="154320896"/>
        <c:crosses val="autoZero"/>
        <c:crossBetween val="between"/>
      </c:valAx>
      <c:spPr>
        <a:noFill/>
        <a:ln w="25399">
          <a:noFill/>
        </a:ln>
      </c:spPr>
    </c:plotArea>
    <c:legend>
      <c:legendPos val="r"/>
      <c:layout>
        <c:manualLayout>
          <c:xMode val="edge"/>
          <c:yMode val="edge"/>
          <c:x val="0.79392971246006394"/>
          <c:y val="0.25441696113074203"/>
          <c:w val="0.19968051118210864"/>
          <c:h val="0.49116607773851589"/>
        </c:manualLayout>
      </c:layout>
      <c:overlay val="0"/>
      <c:spPr>
        <a:solidFill>
          <a:srgbClr val="FFFFFF"/>
        </a:solidFill>
        <a:ln w="3175">
          <a:solidFill>
            <a:srgbClr val="000000"/>
          </a:solidFill>
          <a:prstDash val="solid"/>
        </a:ln>
      </c:spPr>
      <c:txPr>
        <a:bodyPr/>
        <a:lstStyle/>
        <a:p>
          <a:pPr>
            <a:defRPr sz="1035" b="0" i="0" u="none" strike="noStrike" baseline="0">
              <a:solidFill>
                <a:srgbClr val="000000"/>
              </a:solidFill>
              <a:latin typeface="Times New Roman"/>
              <a:ea typeface="Times New Roman"/>
              <a:cs typeface="Times New Roman"/>
            </a:defRPr>
          </a:pPr>
          <a:endParaRPr lang="en-US"/>
        </a:p>
      </c:txPr>
    </c:legend>
    <c:plotVisOnly val="1"/>
    <c:dispBlanksAs val="gap"/>
    <c:showDLblsOverMax val="0"/>
  </c:chart>
  <c:spPr>
    <a:solidFill>
      <a:srgbClr val="FFFFFF"/>
    </a:solidFill>
    <a:ln w="3175">
      <a:solidFill>
        <a:srgbClr val="000000"/>
      </a:solidFill>
      <a:prstDash val="solid"/>
    </a:ln>
  </c:spPr>
  <c:txPr>
    <a:bodyPr/>
    <a:lstStyle/>
    <a:p>
      <a:pPr>
        <a:defRPr sz="1525" b="0" i="0" u="none" strike="noStrike" baseline="0">
          <a:solidFill>
            <a:srgbClr val="000000"/>
          </a:solidFill>
          <a:latin typeface="Arial Cyr"/>
          <a:ea typeface="Arial Cyr"/>
          <a:cs typeface="Arial Cy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5916</Words>
  <Characters>33722</Characters>
  <Application>Microsoft Office Word</Application>
  <DocSecurity>0</DocSecurity>
  <Lines>281</Lines>
  <Paragraphs>79</Paragraphs>
  <ScaleCrop>false</ScaleCrop>
  <Company>Home</Company>
  <LinksUpToDate>false</LinksUpToDate>
  <CharactersWithSpaces>39559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2012-11-05T16:48:00Z</dcterms:created>
  <dcterms:modified xsi:type="dcterms:W3CDTF">2012-11-05T16:48:00Z</dcterms:modified>
</cp:coreProperties>
</file>